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4B7677" w14:textId="3B7F17BD" w:rsidR="00CE2ACD" w:rsidRPr="00CE2ACD" w:rsidRDefault="00CE2ACD" w:rsidP="00CE2ACD">
      <w:pPr>
        <w:widowControl/>
        <w:shd w:val="clear" w:color="auto" w:fill="FFFFFF"/>
        <w:jc w:val="left"/>
        <w:rPr>
          <w:rFonts w:ascii="Segoe UI" w:hAnsi="Segoe UI" w:cs="Segoe UI"/>
          <w:color w:val="303030"/>
          <w:kern w:val="0"/>
          <w:sz w:val="27"/>
          <w:szCs w:val="27"/>
        </w:rPr>
      </w:pPr>
      <w:r w:rsidRPr="00CE2ACD">
        <w:rPr>
          <w:rFonts w:ascii="Segoe UI" w:hAnsi="Segoe UI" w:cs="Segoe UI"/>
          <w:noProof/>
          <w:color w:val="303030"/>
          <w:kern w:val="0"/>
          <w:sz w:val="27"/>
          <w:szCs w:val="27"/>
        </w:rPr>
        <w:drawing>
          <wp:inline distT="0" distB="0" distL="0" distR="0" wp14:anchorId="77301521" wp14:editId="3577442C">
            <wp:extent cx="5278120" cy="962025"/>
            <wp:effectExtent l="0" t="0" r="0" b="9525"/>
            <wp:docPr id="45563040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78120" cy="962025"/>
                    </a:xfrm>
                    <a:prstGeom prst="rect">
                      <a:avLst/>
                    </a:prstGeom>
                    <a:noFill/>
                    <a:ln>
                      <a:noFill/>
                    </a:ln>
                  </pic:spPr>
                </pic:pic>
              </a:graphicData>
            </a:graphic>
          </wp:inline>
        </w:drawing>
      </w:r>
    </w:p>
    <w:p w14:paraId="640C8666" w14:textId="77777777" w:rsidR="00CE2ACD" w:rsidRPr="00CE2ACD" w:rsidRDefault="00CE2ACD" w:rsidP="00CE2ACD">
      <w:pPr>
        <w:widowControl/>
        <w:shd w:val="clear" w:color="auto" w:fill="FFFFFF"/>
        <w:jc w:val="left"/>
        <w:rPr>
          <w:rFonts w:ascii="Segoe UI" w:hAnsi="Segoe UI" w:cs="Segoe UI"/>
          <w:color w:val="303030"/>
          <w:kern w:val="0"/>
          <w:sz w:val="27"/>
          <w:szCs w:val="27"/>
        </w:rPr>
      </w:pPr>
      <w:r w:rsidRPr="00CE2ACD">
        <w:rPr>
          <w:rFonts w:ascii="Segoe UI" w:hAnsi="Segoe UI" w:cs="Segoe UI"/>
          <w:color w:val="303030"/>
          <w:kern w:val="0"/>
          <w:sz w:val="27"/>
          <w:szCs w:val="27"/>
        </w:rPr>
        <w:t>继今年中标</w:t>
      </w:r>
      <w:r w:rsidRPr="00CE2ACD">
        <w:rPr>
          <w:rFonts w:ascii="Segoe UI" w:hAnsi="Segoe UI" w:cs="Segoe UI"/>
          <w:color w:val="303030"/>
          <w:kern w:val="0"/>
          <w:sz w:val="27"/>
          <w:szCs w:val="27"/>
        </w:rPr>
        <w:t>“</w:t>
      </w:r>
      <w:r w:rsidRPr="00CE2ACD">
        <w:rPr>
          <w:rFonts w:ascii="Segoe UI" w:hAnsi="Segoe UI" w:cs="Segoe UI"/>
          <w:color w:val="303030"/>
          <w:kern w:val="0"/>
          <w:sz w:val="27"/>
          <w:szCs w:val="27"/>
        </w:rPr>
        <w:t>云能力中心</w:t>
      </w:r>
      <w:r w:rsidRPr="00CE2ACD">
        <w:rPr>
          <w:rFonts w:ascii="Segoe UI" w:hAnsi="Segoe UI" w:cs="Segoe UI"/>
          <w:color w:val="303030"/>
          <w:kern w:val="0"/>
          <w:sz w:val="27"/>
          <w:szCs w:val="27"/>
        </w:rPr>
        <w:t>2023-2024</w:t>
      </w:r>
      <w:r w:rsidRPr="00CE2ACD">
        <w:rPr>
          <w:rFonts w:ascii="Segoe UI" w:hAnsi="Segoe UI" w:cs="Segoe UI"/>
          <w:color w:val="303030"/>
          <w:kern w:val="0"/>
          <w:sz w:val="27"/>
          <w:szCs w:val="27"/>
        </w:rPr>
        <w:t>年移动云系统迁移技术服务项目</w:t>
      </w:r>
      <w:r w:rsidRPr="00CE2ACD">
        <w:rPr>
          <w:rFonts w:ascii="Segoe UI" w:hAnsi="Segoe UI" w:cs="Segoe UI"/>
          <w:color w:val="303030"/>
          <w:kern w:val="0"/>
          <w:sz w:val="27"/>
          <w:szCs w:val="27"/>
        </w:rPr>
        <w:t>”</w:t>
      </w:r>
      <w:r w:rsidRPr="00CE2ACD">
        <w:rPr>
          <w:rFonts w:ascii="Segoe UI" w:hAnsi="Segoe UI" w:cs="Segoe UI"/>
          <w:color w:val="303030"/>
          <w:kern w:val="0"/>
          <w:sz w:val="27"/>
          <w:szCs w:val="27"/>
        </w:rPr>
        <w:t>之后，统信软件近期又陆续传来</w:t>
      </w:r>
      <w:r w:rsidRPr="00CE2ACD">
        <w:rPr>
          <w:rFonts w:ascii="Segoe UI" w:hAnsi="Segoe UI" w:cs="Segoe UI"/>
          <w:color w:val="303030"/>
          <w:kern w:val="0"/>
          <w:sz w:val="27"/>
          <w:szCs w:val="27"/>
        </w:rPr>
        <w:t>“</w:t>
      </w:r>
      <w:r w:rsidRPr="00CE2ACD">
        <w:rPr>
          <w:rFonts w:ascii="Segoe UI" w:hAnsi="Segoe UI" w:cs="Segoe UI"/>
          <w:color w:val="303030"/>
          <w:kern w:val="0"/>
          <w:sz w:val="27"/>
          <w:szCs w:val="27"/>
        </w:rPr>
        <w:t>云能力中心</w:t>
      </w:r>
      <w:r w:rsidRPr="00CE2ACD">
        <w:rPr>
          <w:rFonts w:ascii="Segoe UI" w:hAnsi="Segoe UI" w:cs="Segoe UI"/>
          <w:color w:val="303030"/>
          <w:kern w:val="0"/>
          <w:sz w:val="27"/>
          <w:szCs w:val="27"/>
        </w:rPr>
        <w:t>2023-2024</w:t>
      </w:r>
      <w:r w:rsidRPr="00CE2ACD">
        <w:rPr>
          <w:rFonts w:ascii="Segoe UI" w:hAnsi="Segoe UI" w:cs="Segoe UI"/>
          <w:color w:val="303030"/>
          <w:kern w:val="0"/>
          <w:sz w:val="27"/>
          <w:szCs w:val="27"/>
        </w:rPr>
        <w:t>年省专公司操作系统迁移服务项目</w:t>
      </w:r>
      <w:r w:rsidRPr="00CE2ACD">
        <w:rPr>
          <w:rFonts w:ascii="Segoe UI" w:hAnsi="Segoe UI" w:cs="Segoe UI"/>
          <w:color w:val="303030"/>
          <w:kern w:val="0"/>
          <w:sz w:val="27"/>
          <w:szCs w:val="27"/>
        </w:rPr>
        <w:t>”</w:t>
      </w:r>
      <w:r w:rsidRPr="00CE2ACD">
        <w:rPr>
          <w:rFonts w:ascii="Segoe UI" w:hAnsi="Segoe UI" w:cs="Segoe UI"/>
          <w:color w:val="303030"/>
          <w:kern w:val="0"/>
          <w:sz w:val="27"/>
          <w:szCs w:val="27"/>
        </w:rPr>
        <w:t>等多个中标喜报。</w:t>
      </w:r>
    </w:p>
    <w:p w14:paraId="4F8CE8B8" w14:textId="6E005211" w:rsidR="00CE2ACD" w:rsidRPr="00CE2ACD" w:rsidRDefault="00CE2ACD" w:rsidP="00CE2ACD">
      <w:pPr>
        <w:widowControl/>
        <w:shd w:val="clear" w:color="auto" w:fill="FFFFFF"/>
        <w:jc w:val="left"/>
        <w:rPr>
          <w:rFonts w:ascii="Segoe UI" w:hAnsi="Segoe UI" w:cs="Segoe UI"/>
          <w:color w:val="303030"/>
          <w:kern w:val="0"/>
          <w:sz w:val="27"/>
          <w:szCs w:val="27"/>
        </w:rPr>
      </w:pPr>
      <w:r w:rsidRPr="00CE2ACD">
        <w:rPr>
          <w:rFonts w:ascii="Segoe UI" w:hAnsi="Segoe UI" w:cs="Segoe UI"/>
          <w:noProof/>
          <w:color w:val="303030"/>
          <w:kern w:val="0"/>
          <w:sz w:val="27"/>
          <w:szCs w:val="27"/>
        </w:rPr>
        <w:lastRenderedPageBreak/>
        <w:drawing>
          <wp:inline distT="0" distB="0" distL="0" distR="0" wp14:anchorId="0AA79D29" wp14:editId="676D7A79">
            <wp:extent cx="4985385" cy="8863330"/>
            <wp:effectExtent l="0" t="0" r="5715" b="0"/>
            <wp:docPr id="109035855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985385" cy="8863330"/>
                    </a:xfrm>
                    <a:prstGeom prst="rect">
                      <a:avLst/>
                    </a:prstGeom>
                    <a:noFill/>
                    <a:ln>
                      <a:noFill/>
                    </a:ln>
                  </pic:spPr>
                </pic:pic>
              </a:graphicData>
            </a:graphic>
          </wp:inline>
        </w:drawing>
      </w:r>
    </w:p>
    <w:p w14:paraId="6BC8C9BC"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Segoe UI" w:hAnsi="Segoe UI" w:cs="Segoe UI"/>
          <w:color w:val="303030"/>
          <w:kern w:val="0"/>
          <w:szCs w:val="24"/>
        </w:rPr>
        <w:lastRenderedPageBreak/>
        <w:t>连续中标，是对统信软件</w:t>
      </w:r>
      <w:r w:rsidRPr="00CE2ACD">
        <w:rPr>
          <w:rFonts w:ascii="Segoe UI" w:hAnsi="Segoe UI" w:cs="Segoe UI"/>
          <w:color w:val="303030"/>
          <w:kern w:val="0"/>
          <w:szCs w:val="24"/>
        </w:rPr>
        <w:t>“3+3+6”CentOS</w:t>
      </w:r>
      <w:r w:rsidRPr="00CE2ACD">
        <w:rPr>
          <w:rFonts w:ascii="Segoe UI" w:hAnsi="Segoe UI" w:cs="Segoe UI"/>
          <w:color w:val="303030"/>
          <w:kern w:val="0"/>
          <w:szCs w:val="24"/>
        </w:rPr>
        <w:t>替换解决方案的认可，同时也意味着经历</w:t>
      </w:r>
      <w:r w:rsidRPr="00CE2ACD">
        <w:rPr>
          <w:rFonts w:ascii="Segoe UI" w:hAnsi="Segoe UI" w:cs="Segoe UI"/>
          <w:color w:val="303030"/>
          <w:kern w:val="0"/>
          <w:szCs w:val="24"/>
        </w:rPr>
        <w:t>3</w:t>
      </w:r>
      <w:r w:rsidRPr="00CE2ACD">
        <w:rPr>
          <w:rFonts w:ascii="Segoe UI" w:hAnsi="Segoe UI" w:cs="Segoe UI"/>
          <w:color w:val="303030"/>
          <w:kern w:val="0"/>
          <w:szCs w:val="24"/>
        </w:rPr>
        <w:t>年信息技术应用创新，运营商行业在国产基础设施的采购进入规模化新常态，技术服务采购需求开始凸显。</w:t>
      </w:r>
    </w:p>
    <w:p w14:paraId="10F02AE9" w14:textId="35FBE88C" w:rsidR="00CE2ACD" w:rsidRPr="00CE2ACD" w:rsidRDefault="00CE2ACD" w:rsidP="00CE2ACD">
      <w:pPr>
        <w:widowControl/>
        <w:shd w:val="clear" w:color="auto" w:fill="FFFFFF"/>
        <w:spacing w:before="100" w:beforeAutospacing="1"/>
        <w:jc w:val="center"/>
        <w:outlineLvl w:val="1"/>
        <w:rPr>
          <w:rFonts w:ascii="Segoe UI" w:hAnsi="Segoe UI" w:cs="Segoe UI"/>
          <w:color w:val="303030"/>
          <w:kern w:val="0"/>
          <w:sz w:val="36"/>
          <w:szCs w:val="36"/>
        </w:rPr>
      </w:pPr>
      <w:r w:rsidRPr="00CE2ACD">
        <w:rPr>
          <w:rFonts w:ascii="Segoe UI" w:hAnsi="Segoe UI" w:cs="Segoe UI"/>
          <w:color w:val="303030"/>
          <w:kern w:val="0"/>
          <w:sz w:val="36"/>
          <w:szCs w:val="36"/>
        </w:rPr>
        <w:t>运营商聚焦算力资源</w:t>
      </w:r>
    </w:p>
    <w:p w14:paraId="68AAD8A0" w14:textId="455DAE7E" w:rsidR="00CE2ACD" w:rsidRPr="00CE2ACD" w:rsidRDefault="00CE2ACD" w:rsidP="00CE2ACD">
      <w:pPr>
        <w:widowControl/>
        <w:shd w:val="clear" w:color="auto" w:fill="FFFFFF"/>
        <w:spacing w:before="100" w:beforeAutospacing="1"/>
        <w:jc w:val="center"/>
        <w:outlineLvl w:val="1"/>
        <w:rPr>
          <w:rFonts w:ascii="Segoe UI" w:hAnsi="Segoe UI" w:cs="Segoe UI"/>
          <w:color w:val="303030"/>
          <w:kern w:val="0"/>
          <w:sz w:val="36"/>
          <w:szCs w:val="36"/>
        </w:rPr>
      </w:pPr>
      <w:r w:rsidRPr="00CE2ACD">
        <w:rPr>
          <w:rFonts w:ascii="Segoe UI" w:hAnsi="Segoe UI" w:cs="Segoe UI"/>
          <w:color w:val="303030"/>
          <w:kern w:val="0"/>
          <w:sz w:val="36"/>
          <w:szCs w:val="36"/>
        </w:rPr>
        <w:t>技术服务的机遇</w:t>
      </w:r>
    </w:p>
    <w:p w14:paraId="7D4563DD"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Segoe UI" w:hAnsi="Segoe UI" w:cs="Segoe UI"/>
          <w:color w:val="303030"/>
          <w:kern w:val="0"/>
          <w:szCs w:val="24"/>
        </w:rPr>
        <w:t>技术服务，这是一片新蓝海。</w:t>
      </w:r>
    </w:p>
    <w:p w14:paraId="6A150B25"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Segoe UI" w:hAnsi="Segoe UI" w:cs="Segoe UI"/>
          <w:color w:val="303030"/>
          <w:kern w:val="0"/>
          <w:szCs w:val="24"/>
        </w:rPr>
        <w:t>在</w:t>
      </w:r>
      <w:r w:rsidRPr="00CE2ACD">
        <w:rPr>
          <w:rFonts w:ascii="Segoe UI" w:hAnsi="Segoe UI" w:cs="Segoe UI"/>
          <w:color w:val="303030"/>
          <w:kern w:val="0"/>
          <w:szCs w:val="24"/>
        </w:rPr>
        <w:t>“</w:t>
      </w:r>
      <w:r w:rsidRPr="00CE2ACD">
        <w:rPr>
          <w:rFonts w:ascii="Segoe UI" w:hAnsi="Segoe UI" w:cs="Segoe UI"/>
          <w:color w:val="303030"/>
          <w:kern w:val="0"/>
          <w:szCs w:val="24"/>
        </w:rPr>
        <w:t>东数西算</w:t>
      </w:r>
      <w:r w:rsidRPr="00CE2ACD">
        <w:rPr>
          <w:rFonts w:ascii="Segoe UI" w:hAnsi="Segoe UI" w:cs="Segoe UI"/>
          <w:color w:val="303030"/>
          <w:kern w:val="0"/>
          <w:szCs w:val="24"/>
        </w:rPr>
        <w:t>”</w:t>
      </w:r>
      <w:r w:rsidRPr="00CE2ACD">
        <w:rPr>
          <w:rFonts w:ascii="Segoe UI" w:hAnsi="Segoe UI" w:cs="Segoe UI"/>
          <w:color w:val="303030"/>
          <w:kern w:val="0"/>
          <w:szCs w:val="24"/>
        </w:rPr>
        <w:t>和国产化同步推进下，三大运营商正全面聚焦算力资源，而服务器规模是算力的直观指标之一。</w:t>
      </w:r>
    </w:p>
    <w:p w14:paraId="44598001" w14:textId="6D779845" w:rsidR="00CE2ACD" w:rsidRPr="00CE2ACD" w:rsidRDefault="00CE2ACD" w:rsidP="00CE2ACD">
      <w:pPr>
        <w:widowControl/>
        <w:shd w:val="clear" w:color="auto" w:fill="FFFFFF"/>
        <w:jc w:val="left"/>
        <w:rPr>
          <w:rFonts w:ascii="Segoe UI" w:hAnsi="Segoe UI" w:cs="Segoe UI"/>
          <w:color w:val="303030"/>
          <w:kern w:val="0"/>
          <w:sz w:val="27"/>
          <w:szCs w:val="27"/>
        </w:rPr>
      </w:pPr>
      <w:r w:rsidRPr="00CE2ACD">
        <w:rPr>
          <w:rFonts w:ascii="Segoe UI" w:hAnsi="Segoe UI" w:cs="Segoe UI"/>
          <w:noProof/>
          <w:color w:val="303030"/>
          <w:kern w:val="0"/>
          <w:sz w:val="27"/>
          <w:szCs w:val="27"/>
        </w:rPr>
        <w:drawing>
          <wp:inline distT="0" distB="0" distL="0" distR="0" wp14:anchorId="5B44DF45" wp14:editId="268C3FC8">
            <wp:extent cx="5278120" cy="2247265"/>
            <wp:effectExtent l="0" t="0" r="0" b="635"/>
            <wp:docPr id="3693767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8120" cy="2247265"/>
                    </a:xfrm>
                    <a:prstGeom prst="rect">
                      <a:avLst/>
                    </a:prstGeom>
                    <a:noFill/>
                    <a:ln>
                      <a:noFill/>
                    </a:ln>
                  </pic:spPr>
                </pic:pic>
              </a:graphicData>
            </a:graphic>
          </wp:inline>
        </w:drawing>
      </w:r>
    </w:p>
    <w:p w14:paraId="38907FFA"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Segoe UI" w:hAnsi="Segoe UI" w:cs="Segoe UI"/>
          <w:color w:val="303030"/>
          <w:kern w:val="0"/>
          <w:szCs w:val="24"/>
        </w:rPr>
        <w:t>据公开数据，中国移动</w:t>
      </w:r>
      <w:r w:rsidRPr="00CE2ACD">
        <w:rPr>
          <w:rFonts w:ascii="Segoe UI" w:hAnsi="Segoe UI" w:cs="Segoe UI"/>
          <w:color w:val="303030"/>
          <w:kern w:val="0"/>
          <w:szCs w:val="24"/>
        </w:rPr>
        <w:t>2021</w:t>
      </w:r>
      <w:r w:rsidRPr="00CE2ACD">
        <w:rPr>
          <w:rFonts w:ascii="Segoe UI" w:hAnsi="Segoe UI" w:cs="Segoe UI"/>
          <w:color w:val="303030"/>
          <w:kern w:val="0"/>
          <w:szCs w:val="24"/>
        </w:rPr>
        <w:t>年</w:t>
      </w:r>
      <w:r w:rsidRPr="00CE2ACD">
        <w:rPr>
          <w:rFonts w:ascii="Segoe UI" w:hAnsi="Segoe UI" w:cs="Segoe UI"/>
          <w:color w:val="303030"/>
          <w:kern w:val="0"/>
          <w:szCs w:val="24"/>
        </w:rPr>
        <w:t>-2022</w:t>
      </w:r>
      <w:r w:rsidRPr="00CE2ACD">
        <w:rPr>
          <w:rFonts w:ascii="Segoe UI" w:hAnsi="Segoe UI" w:cs="Segoe UI"/>
          <w:color w:val="303030"/>
          <w:kern w:val="0"/>
          <w:szCs w:val="24"/>
        </w:rPr>
        <w:t>年服务器集采项目中，华为鲲鹏、海光服务器共</w:t>
      </w:r>
      <w:r w:rsidRPr="00CE2ACD">
        <w:rPr>
          <w:rFonts w:ascii="Segoe UI" w:hAnsi="Segoe UI" w:cs="Segoe UI"/>
          <w:color w:val="303030"/>
          <w:kern w:val="0"/>
          <w:szCs w:val="24"/>
        </w:rPr>
        <w:t>4.4</w:t>
      </w:r>
      <w:r w:rsidRPr="00CE2ACD">
        <w:rPr>
          <w:rFonts w:ascii="Segoe UI" w:hAnsi="Segoe UI" w:cs="Segoe UI"/>
          <w:color w:val="303030"/>
          <w:kern w:val="0"/>
          <w:szCs w:val="24"/>
        </w:rPr>
        <w:t>万台，整体招标量</w:t>
      </w:r>
      <w:r w:rsidRPr="00CE2ACD">
        <w:rPr>
          <w:rFonts w:ascii="Segoe UI" w:hAnsi="Segoe UI" w:cs="Segoe UI"/>
          <w:b/>
          <w:bCs/>
          <w:color w:val="303030"/>
          <w:kern w:val="0"/>
          <w:szCs w:val="24"/>
        </w:rPr>
        <w:t>占比</w:t>
      </w:r>
      <w:r w:rsidRPr="00CE2ACD">
        <w:rPr>
          <w:rFonts w:ascii="Segoe UI" w:hAnsi="Segoe UI" w:cs="Segoe UI"/>
          <w:b/>
          <w:bCs/>
          <w:color w:val="303030"/>
          <w:kern w:val="0"/>
          <w:szCs w:val="24"/>
        </w:rPr>
        <w:t>27.0%</w:t>
      </w:r>
      <w:r w:rsidRPr="00CE2ACD">
        <w:rPr>
          <w:rFonts w:ascii="Segoe UI" w:hAnsi="Segoe UI" w:cs="Segoe UI"/>
          <w:color w:val="303030"/>
          <w:kern w:val="0"/>
          <w:szCs w:val="24"/>
        </w:rPr>
        <w:t>；中国电信</w:t>
      </w:r>
      <w:r w:rsidRPr="00CE2ACD">
        <w:rPr>
          <w:rFonts w:ascii="Segoe UI" w:hAnsi="Segoe UI" w:cs="Segoe UI"/>
          <w:color w:val="303030"/>
          <w:kern w:val="0"/>
          <w:szCs w:val="24"/>
        </w:rPr>
        <w:t>2022</w:t>
      </w:r>
      <w:r w:rsidRPr="00CE2ACD">
        <w:rPr>
          <w:rFonts w:ascii="Segoe UI" w:hAnsi="Segoe UI" w:cs="Segoe UI"/>
          <w:color w:val="303030"/>
          <w:kern w:val="0"/>
          <w:szCs w:val="24"/>
        </w:rPr>
        <w:t>年</w:t>
      </w:r>
      <w:r w:rsidRPr="00CE2ACD">
        <w:rPr>
          <w:rFonts w:ascii="Segoe UI" w:hAnsi="Segoe UI" w:cs="Segoe UI"/>
          <w:color w:val="303030"/>
          <w:kern w:val="0"/>
          <w:szCs w:val="24"/>
        </w:rPr>
        <w:t>-2023</w:t>
      </w:r>
      <w:r w:rsidRPr="00CE2ACD">
        <w:rPr>
          <w:rFonts w:ascii="Segoe UI" w:hAnsi="Segoe UI" w:cs="Segoe UI"/>
          <w:color w:val="303030"/>
          <w:kern w:val="0"/>
          <w:szCs w:val="24"/>
        </w:rPr>
        <w:t>年服务器集采项目中，国产芯片服务器采购规模共</w:t>
      </w:r>
      <w:r w:rsidRPr="00CE2ACD">
        <w:rPr>
          <w:rFonts w:ascii="Segoe UI" w:hAnsi="Segoe UI" w:cs="Segoe UI"/>
          <w:color w:val="303030"/>
          <w:kern w:val="0"/>
          <w:szCs w:val="24"/>
        </w:rPr>
        <w:t>5.3</w:t>
      </w:r>
      <w:r w:rsidRPr="00CE2ACD">
        <w:rPr>
          <w:rFonts w:ascii="Segoe UI" w:hAnsi="Segoe UI" w:cs="Segoe UI"/>
          <w:color w:val="303030"/>
          <w:kern w:val="0"/>
          <w:szCs w:val="24"/>
        </w:rPr>
        <w:t>万台，</w:t>
      </w:r>
      <w:r w:rsidRPr="00CE2ACD">
        <w:rPr>
          <w:rFonts w:ascii="Segoe UI" w:hAnsi="Segoe UI" w:cs="Segoe UI"/>
          <w:b/>
          <w:bCs/>
          <w:color w:val="303030"/>
          <w:kern w:val="0"/>
          <w:szCs w:val="24"/>
        </w:rPr>
        <w:t>占比</w:t>
      </w:r>
      <w:r w:rsidRPr="00CE2ACD">
        <w:rPr>
          <w:rFonts w:ascii="Segoe UI" w:hAnsi="Segoe UI" w:cs="Segoe UI"/>
          <w:b/>
          <w:bCs/>
          <w:color w:val="303030"/>
          <w:kern w:val="0"/>
          <w:szCs w:val="24"/>
        </w:rPr>
        <w:t>26.7%</w:t>
      </w:r>
      <w:r w:rsidRPr="00CE2ACD">
        <w:rPr>
          <w:rFonts w:ascii="Segoe UI" w:hAnsi="Segoe UI" w:cs="Segoe UI"/>
          <w:color w:val="303030"/>
          <w:kern w:val="0"/>
          <w:szCs w:val="24"/>
        </w:rPr>
        <w:t>；中国联通</w:t>
      </w:r>
      <w:r w:rsidRPr="00CE2ACD">
        <w:rPr>
          <w:rFonts w:ascii="Segoe UI" w:hAnsi="Segoe UI" w:cs="Segoe UI"/>
          <w:color w:val="303030"/>
          <w:kern w:val="0"/>
          <w:szCs w:val="24"/>
        </w:rPr>
        <w:t>2022</w:t>
      </w:r>
      <w:r w:rsidRPr="00CE2ACD">
        <w:rPr>
          <w:rFonts w:ascii="Segoe UI" w:hAnsi="Segoe UI" w:cs="Segoe UI"/>
          <w:color w:val="303030"/>
          <w:kern w:val="0"/>
          <w:szCs w:val="24"/>
        </w:rPr>
        <w:t>年通用服务器集中采购项目，标的共计</w:t>
      </w:r>
      <w:r w:rsidRPr="00CE2ACD">
        <w:rPr>
          <w:rFonts w:ascii="Segoe UI" w:hAnsi="Segoe UI" w:cs="Segoe UI"/>
          <w:color w:val="303030"/>
          <w:kern w:val="0"/>
          <w:szCs w:val="24"/>
        </w:rPr>
        <w:t>46</w:t>
      </w:r>
      <w:r w:rsidRPr="00CE2ACD">
        <w:rPr>
          <w:rFonts w:ascii="Segoe UI" w:hAnsi="Segoe UI" w:cs="Segoe UI"/>
          <w:color w:val="303030"/>
          <w:kern w:val="0"/>
          <w:szCs w:val="24"/>
        </w:rPr>
        <w:t>亿元，其中信创订单</w:t>
      </w:r>
      <w:r w:rsidRPr="00CE2ACD">
        <w:rPr>
          <w:rFonts w:ascii="Segoe UI" w:hAnsi="Segoe UI" w:cs="Segoe UI"/>
          <w:b/>
          <w:bCs/>
          <w:color w:val="303030"/>
          <w:kern w:val="0"/>
          <w:szCs w:val="24"/>
        </w:rPr>
        <w:t>占比</w:t>
      </w:r>
      <w:r w:rsidRPr="00CE2ACD">
        <w:rPr>
          <w:rFonts w:ascii="Segoe UI" w:hAnsi="Segoe UI" w:cs="Segoe UI"/>
          <w:b/>
          <w:bCs/>
          <w:color w:val="303030"/>
          <w:kern w:val="0"/>
          <w:szCs w:val="24"/>
        </w:rPr>
        <w:t>40.47%</w:t>
      </w:r>
      <w:r w:rsidRPr="00CE2ACD">
        <w:rPr>
          <w:rFonts w:ascii="Segoe UI" w:hAnsi="Segoe UI" w:cs="Segoe UI"/>
          <w:color w:val="303030"/>
          <w:kern w:val="0"/>
          <w:szCs w:val="24"/>
        </w:rPr>
        <w:t>。</w:t>
      </w:r>
    </w:p>
    <w:p w14:paraId="1A8A7CF4"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Segoe UI" w:hAnsi="Segoe UI" w:cs="Segoe UI"/>
          <w:color w:val="303030"/>
          <w:kern w:val="0"/>
          <w:szCs w:val="24"/>
        </w:rPr>
        <w:t>作为算力网络的提出者和建设者，运营商国产服务器的采购已经进入规模化新常态。作为算力投资的主力军，运营商对于硬件投资大于软件，国产服务器采购成本高，被认为占用了原本的</w:t>
      </w:r>
      <w:r w:rsidRPr="00CE2ACD">
        <w:rPr>
          <w:rFonts w:ascii="Segoe UI" w:hAnsi="Segoe UI" w:cs="Segoe UI"/>
          <w:color w:val="303030"/>
          <w:kern w:val="0"/>
          <w:szCs w:val="24"/>
        </w:rPr>
        <w:t>IT</w:t>
      </w:r>
      <w:r w:rsidRPr="00CE2ACD">
        <w:rPr>
          <w:rFonts w:ascii="Segoe UI" w:hAnsi="Segoe UI" w:cs="Segoe UI"/>
          <w:color w:val="303030"/>
          <w:kern w:val="0"/>
          <w:szCs w:val="24"/>
        </w:rPr>
        <w:t>支出。</w:t>
      </w:r>
    </w:p>
    <w:p w14:paraId="4DE85C08"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Segoe UI" w:hAnsi="Segoe UI" w:cs="Segoe UI"/>
          <w:color w:val="303030"/>
          <w:kern w:val="0"/>
          <w:szCs w:val="24"/>
        </w:rPr>
        <w:t>另一个因素在于，三家运营商均推出自研操作系统，并开始规模化部署：</w:t>
      </w:r>
    </w:p>
    <w:p w14:paraId="661F6C01" w14:textId="77777777" w:rsidR="00CE2ACD" w:rsidRPr="00CE2ACD" w:rsidRDefault="00CE2ACD" w:rsidP="00CE2ACD">
      <w:pPr>
        <w:pStyle w:val="a3"/>
        <w:numPr>
          <w:ilvl w:val="0"/>
          <w:numId w:val="12"/>
        </w:numPr>
        <w:ind w:firstLineChars="0"/>
      </w:pPr>
      <w:r w:rsidRPr="00CE2ACD">
        <w:t>中国移动的大云天元操作系统已经在移动云超大规模资源池累计上线部署了</w:t>
      </w:r>
      <w:r w:rsidRPr="00CE2ACD">
        <w:t>28</w:t>
      </w:r>
      <w:r w:rsidRPr="00CE2ACD">
        <w:t>万套，成为移动云租户的首选操作系统；</w:t>
      </w:r>
    </w:p>
    <w:p w14:paraId="5E7F5F0B" w14:textId="77777777" w:rsidR="00CE2ACD" w:rsidRPr="00CE2ACD" w:rsidRDefault="00CE2ACD" w:rsidP="00CE2ACD">
      <w:pPr>
        <w:pStyle w:val="a3"/>
        <w:numPr>
          <w:ilvl w:val="0"/>
          <w:numId w:val="12"/>
        </w:numPr>
        <w:ind w:firstLineChars="0"/>
      </w:pPr>
      <w:r w:rsidRPr="00CE2ACD">
        <w:t>中国电信的</w:t>
      </w:r>
      <w:r w:rsidRPr="00CE2ACD">
        <w:t>CTyunOS</w:t>
      </w:r>
      <w:r w:rsidRPr="00CE2ACD">
        <w:t>已经累计上线部署超</w:t>
      </w:r>
      <w:r w:rsidRPr="00CE2ACD">
        <w:t>5</w:t>
      </w:r>
      <w:r w:rsidRPr="00CE2ACD">
        <w:t>万套，支持了公司公有云、私有云、</w:t>
      </w:r>
      <w:r w:rsidRPr="00CE2ACD">
        <w:t>IT</w:t>
      </w:r>
      <w:r w:rsidRPr="00CE2ACD">
        <w:t>上云、一城一池等多种业务，计划在</w:t>
      </w:r>
      <w:r w:rsidRPr="00CE2ACD">
        <w:t>2024</w:t>
      </w:r>
      <w:r w:rsidRPr="00CE2ACD">
        <w:t>年将全部天翼云业务迁移至</w:t>
      </w:r>
      <w:r w:rsidRPr="00CE2ACD">
        <w:t>CTyunOS</w:t>
      </w:r>
      <w:r w:rsidRPr="00CE2ACD">
        <w:t>；</w:t>
      </w:r>
    </w:p>
    <w:p w14:paraId="576E0C6D" w14:textId="77777777" w:rsidR="00CE2ACD" w:rsidRPr="00CE2ACD" w:rsidRDefault="00CE2ACD" w:rsidP="00CE2ACD">
      <w:pPr>
        <w:pStyle w:val="a3"/>
        <w:numPr>
          <w:ilvl w:val="0"/>
          <w:numId w:val="12"/>
        </w:numPr>
        <w:ind w:firstLineChars="0"/>
      </w:pPr>
      <w:r w:rsidRPr="00CE2ACD">
        <w:t>中国联通的</w:t>
      </w:r>
      <w:r w:rsidRPr="00CE2ACD">
        <w:t>CULinux</w:t>
      </w:r>
      <w:r w:rsidRPr="00CE2ACD">
        <w:t>在云业务上已经完成了数千套部署，并计划在</w:t>
      </w:r>
      <w:r w:rsidRPr="00CE2ACD">
        <w:t>2023</w:t>
      </w:r>
      <w:r w:rsidRPr="00CE2ACD">
        <w:t>年完成</w:t>
      </w:r>
      <w:r w:rsidRPr="00CE2ACD">
        <w:t>10</w:t>
      </w:r>
      <w:r w:rsidRPr="00CE2ACD">
        <w:t>万套上线部署。</w:t>
      </w:r>
    </w:p>
    <w:p w14:paraId="33DF8CDD"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Segoe UI" w:hAnsi="Segoe UI" w:cs="Segoe UI"/>
          <w:color w:val="303030"/>
          <w:kern w:val="0"/>
          <w:szCs w:val="24"/>
        </w:rPr>
        <w:t>就此，国泰君安证券研究认为，从运营商的规划来看，未来大概率会在其云业务上继续使用自研操作系统，以形成规模效应。</w:t>
      </w:r>
    </w:p>
    <w:p w14:paraId="222BB6E7"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Segoe UI" w:hAnsi="Segoe UI" w:cs="Segoe UI"/>
          <w:color w:val="303030"/>
          <w:kern w:val="0"/>
          <w:szCs w:val="24"/>
        </w:rPr>
        <w:t>这意味着，运营商未来可能会在自研操作系统的迁移、适配、运维等方面寻求第三方专业操作系统厂商的合作与支持。</w:t>
      </w:r>
    </w:p>
    <w:p w14:paraId="021493BD" w14:textId="13495E51" w:rsidR="00CE2ACD" w:rsidRPr="00CE2ACD" w:rsidRDefault="00CE2ACD" w:rsidP="00CE2ACD">
      <w:pPr>
        <w:widowControl/>
        <w:shd w:val="clear" w:color="auto" w:fill="FFFFFF"/>
        <w:spacing w:before="100" w:beforeAutospacing="1"/>
        <w:jc w:val="center"/>
        <w:outlineLvl w:val="1"/>
        <w:rPr>
          <w:rFonts w:ascii="Segoe UI" w:hAnsi="Segoe UI" w:cs="Segoe UI"/>
          <w:color w:val="303030"/>
          <w:kern w:val="0"/>
          <w:sz w:val="36"/>
          <w:szCs w:val="36"/>
        </w:rPr>
      </w:pPr>
      <w:r w:rsidRPr="00CE2ACD">
        <w:rPr>
          <w:rFonts w:ascii="Segoe UI" w:hAnsi="Segoe UI" w:cs="Segoe UI"/>
          <w:color w:val="303030"/>
          <w:kern w:val="0"/>
          <w:sz w:val="36"/>
          <w:szCs w:val="36"/>
        </w:rPr>
        <w:t>打造</w:t>
      </w:r>
      <w:r w:rsidRPr="00CE2ACD">
        <w:rPr>
          <w:rFonts w:ascii="Segoe UI" w:hAnsi="Segoe UI" w:cs="Segoe UI"/>
          <w:color w:val="303030"/>
          <w:kern w:val="0"/>
          <w:sz w:val="36"/>
          <w:szCs w:val="36"/>
        </w:rPr>
        <w:t>“</w:t>
      </w:r>
      <w:r w:rsidRPr="00CE2ACD">
        <w:rPr>
          <w:rFonts w:ascii="Segoe UI" w:hAnsi="Segoe UI" w:cs="Segoe UI"/>
          <w:color w:val="303030"/>
          <w:kern w:val="0"/>
          <w:sz w:val="36"/>
          <w:szCs w:val="36"/>
        </w:rPr>
        <w:t>服务标品</w:t>
      </w:r>
      <w:r w:rsidRPr="00CE2ACD">
        <w:rPr>
          <w:rFonts w:ascii="Segoe UI" w:hAnsi="Segoe UI" w:cs="Segoe UI"/>
          <w:color w:val="303030"/>
          <w:kern w:val="0"/>
          <w:sz w:val="36"/>
          <w:szCs w:val="36"/>
        </w:rPr>
        <w:t>”</w:t>
      </w:r>
    </w:p>
    <w:p w14:paraId="6A7468A3" w14:textId="0A41A451" w:rsidR="00CE2ACD" w:rsidRPr="00CE2ACD" w:rsidRDefault="00CE2ACD" w:rsidP="00CE2ACD">
      <w:pPr>
        <w:widowControl/>
        <w:shd w:val="clear" w:color="auto" w:fill="FFFFFF"/>
        <w:spacing w:before="100" w:beforeAutospacing="1"/>
        <w:jc w:val="center"/>
        <w:outlineLvl w:val="1"/>
        <w:rPr>
          <w:rFonts w:ascii="Segoe UI" w:hAnsi="Segoe UI" w:cs="Segoe UI"/>
          <w:color w:val="303030"/>
          <w:kern w:val="0"/>
          <w:sz w:val="36"/>
          <w:szCs w:val="36"/>
        </w:rPr>
      </w:pPr>
      <w:r w:rsidRPr="00CE2ACD">
        <w:rPr>
          <w:rFonts w:ascii="Segoe UI" w:hAnsi="Segoe UI" w:cs="Segoe UI"/>
          <w:color w:val="303030"/>
          <w:kern w:val="0"/>
          <w:sz w:val="36"/>
          <w:szCs w:val="36"/>
        </w:rPr>
        <w:lastRenderedPageBreak/>
        <w:t>统信软件实力布局</w:t>
      </w:r>
    </w:p>
    <w:p w14:paraId="0EDF3127"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Segoe UI" w:hAnsi="Segoe UI" w:cs="Segoe UI"/>
          <w:color w:val="303030"/>
          <w:kern w:val="0"/>
          <w:szCs w:val="24"/>
        </w:rPr>
        <w:t>事实上，服务器厂商、集成商等均有全栈服务能力和解决方案，统信软件作为国产操作系统厂商频频拿下技术服务标，凭借的正是</w:t>
      </w:r>
      <w:r w:rsidRPr="00CE2ACD">
        <w:rPr>
          <w:rFonts w:ascii="Segoe UI" w:hAnsi="Segoe UI" w:cs="Segoe UI"/>
          <w:b/>
          <w:bCs/>
          <w:color w:val="303030"/>
          <w:kern w:val="0"/>
          <w:szCs w:val="24"/>
        </w:rPr>
        <w:t>业内领先的解决方案、服务能力和丰富经验</w:t>
      </w:r>
      <w:r w:rsidRPr="00CE2ACD">
        <w:rPr>
          <w:rFonts w:ascii="Segoe UI" w:hAnsi="Segoe UI" w:cs="Segoe UI"/>
          <w:color w:val="303030"/>
          <w:kern w:val="0"/>
          <w:szCs w:val="24"/>
        </w:rPr>
        <w:t>。</w:t>
      </w:r>
    </w:p>
    <w:p w14:paraId="236D59EB" w14:textId="77777777" w:rsidR="00CE2ACD" w:rsidRPr="00CE2ACD" w:rsidRDefault="00CE2ACD" w:rsidP="00CE2ACD">
      <w:pPr>
        <w:pStyle w:val="a3"/>
        <w:numPr>
          <w:ilvl w:val="0"/>
          <w:numId w:val="11"/>
        </w:numPr>
        <w:ind w:firstLineChars="0"/>
      </w:pPr>
      <w:r w:rsidRPr="00CE2ACD">
        <w:t>首先，早在</w:t>
      </w:r>
      <w:r w:rsidRPr="00CE2ACD">
        <w:t>2020</w:t>
      </w:r>
      <w:r w:rsidRPr="00CE2ACD">
        <w:t>年，统信软件就先后与三大运营商展开迁移适配联合攻关，对于运营商一般系统、业务系统和核心系统的迁移需求、迁移环境和迁移方案已打磨成熟；</w:t>
      </w:r>
    </w:p>
    <w:p w14:paraId="351F616A" w14:textId="77777777" w:rsidR="00CE2ACD" w:rsidRPr="00CE2ACD" w:rsidRDefault="00CE2ACD" w:rsidP="00CE2ACD">
      <w:pPr>
        <w:pStyle w:val="a3"/>
        <w:numPr>
          <w:ilvl w:val="0"/>
          <w:numId w:val="11"/>
        </w:numPr>
        <w:ind w:firstLineChars="0"/>
      </w:pPr>
      <w:r w:rsidRPr="00CE2ACD">
        <w:t>其次，统信</w:t>
      </w:r>
      <w:r w:rsidRPr="00CE2ACD">
        <w:t>UOS</w:t>
      </w:r>
      <w:r w:rsidRPr="00CE2ACD">
        <w:t>服务器版汲取欧拉与龙蜥双社区精华，深谙上游社区的技术路线，无论运营商自研操作系统基于哪种技术架构，都可以预判风险，保证迁移的平滑、稳定；</w:t>
      </w:r>
    </w:p>
    <w:p w14:paraId="0FE8FF92" w14:textId="77777777" w:rsidR="00CE2ACD" w:rsidRPr="00CE2ACD" w:rsidRDefault="00CE2ACD" w:rsidP="00CE2ACD">
      <w:pPr>
        <w:pStyle w:val="a3"/>
        <w:numPr>
          <w:ilvl w:val="0"/>
          <w:numId w:val="11"/>
        </w:numPr>
        <w:ind w:firstLineChars="0"/>
      </w:pPr>
      <w:r w:rsidRPr="00CE2ACD">
        <w:t>第三，统信软件推出的《</w:t>
      </w:r>
      <w:r w:rsidRPr="00CE2ACD">
        <w:t>“3+3+6”CentOS</w:t>
      </w:r>
      <w:r w:rsidRPr="00CE2ACD">
        <w:t>替换解决方案》是一套完整的</w:t>
      </w:r>
      <w:r w:rsidRPr="00CE2ACD">
        <w:t>“</w:t>
      </w:r>
      <w:r w:rsidRPr="00CE2ACD">
        <w:t>服务标品</w:t>
      </w:r>
      <w:r w:rsidRPr="00CE2ACD">
        <w:t>”</w:t>
      </w:r>
      <w:r w:rsidRPr="00CE2ACD">
        <w:t>，可提供一体化迁移解决方案或迁移工具，全面覆盖单机环境、集群环境和云环境；</w:t>
      </w:r>
    </w:p>
    <w:p w14:paraId="78A13244" w14:textId="77777777" w:rsidR="00CE2ACD" w:rsidRPr="00CE2ACD" w:rsidRDefault="00CE2ACD" w:rsidP="00CE2ACD">
      <w:pPr>
        <w:pStyle w:val="a3"/>
        <w:numPr>
          <w:ilvl w:val="0"/>
          <w:numId w:val="11"/>
        </w:numPr>
        <w:ind w:firstLineChars="0"/>
      </w:pPr>
      <w:r w:rsidRPr="00CE2ACD">
        <w:t>第四，统信</w:t>
      </w:r>
      <w:r w:rsidRPr="00CE2ACD">
        <w:t>UOS</w:t>
      </w:r>
      <w:r w:rsidRPr="00CE2ACD">
        <w:t>具备强大的安全基因，结合操作系统安全四级认证（等保</w:t>
      </w:r>
      <w:r w:rsidRPr="00CE2ACD">
        <w:t>2.0</w:t>
      </w:r>
      <w:r w:rsidRPr="00CE2ACD">
        <w:t>）和可信计算等要求，构建了从硬件到软件、从内核到应用、从主动防御到安全合作的全栈系统安全防护体系，为客户迁移过程中的安全合规保驾护航；</w:t>
      </w:r>
    </w:p>
    <w:p w14:paraId="5B125DAD" w14:textId="77777777" w:rsidR="00CE2ACD" w:rsidRPr="00CE2ACD" w:rsidRDefault="00CE2ACD" w:rsidP="00CE2ACD">
      <w:pPr>
        <w:pStyle w:val="a3"/>
        <w:numPr>
          <w:ilvl w:val="0"/>
          <w:numId w:val="11"/>
        </w:numPr>
        <w:ind w:firstLineChars="0"/>
      </w:pPr>
      <w:r w:rsidRPr="00CE2ACD">
        <w:t>第五，统信软件还为客户提供远程支持、现场支持、培训服务、顾问咨询、系统定制等一系列服务支持。不仅能够满足客户快速响应、及时处理和修复问题的要求，还可以按照客户的个性化需求提供订制服务，满足不同复杂业务场景下的需求。</w:t>
      </w:r>
    </w:p>
    <w:p w14:paraId="6AA0A32A"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Segoe UI" w:hAnsi="Segoe UI" w:cs="Segoe UI"/>
          <w:color w:val="303030"/>
          <w:kern w:val="0"/>
          <w:szCs w:val="24"/>
        </w:rPr>
        <w:t>经过实践检验的解决方案和服务实力，获得了业界广泛认可和嘉奖：</w:t>
      </w:r>
    </w:p>
    <w:p w14:paraId="2FA082FC"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MS Gothic" w:eastAsia="MS Gothic" w:hAnsi="MS Gothic" w:cs="MS Gothic" w:hint="eastAsia"/>
          <w:color w:val="303030"/>
          <w:kern w:val="0"/>
          <w:szCs w:val="24"/>
        </w:rPr>
        <w:t>◈</w:t>
      </w:r>
      <w:r w:rsidRPr="00CE2ACD">
        <w:rPr>
          <w:rFonts w:ascii="Segoe UI" w:hAnsi="Segoe UI" w:cs="Segoe UI"/>
          <w:color w:val="303030"/>
          <w:kern w:val="0"/>
          <w:szCs w:val="24"/>
        </w:rPr>
        <w:t xml:space="preserve"> </w:t>
      </w:r>
      <w:r w:rsidRPr="00CE2ACD">
        <w:rPr>
          <w:rFonts w:ascii="Segoe UI" w:hAnsi="Segoe UI" w:cs="Segoe UI"/>
          <w:color w:val="303030"/>
          <w:kern w:val="0"/>
          <w:szCs w:val="24"/>
        </w:rPr>
        <w:t>工业和信息化部网络安全产业发展中心、信息中心技术创新应用协作组颁发的</w:t>
      </w:r>
      <w:r w:rsidRPr="00CE2ACD">
        <w:rPr>
          <w:rFonts w:ascii="Segoe UI" w:hAnsi="Segoe UI" w:cs="Segoe UI"/>
          <w:color w:val="303030"/>
          <w:kern w:val="0"/>
          <w:szCs w:val="24"/>
        </w:rPr>
        <w:t>“2021</w:t>
      </w:r>
      <w:r w:rsidRPr="00CE2ACD">
        <w:rPr>
          <w:rFonts w:ascii="Segoe UI" w:hAnsi="Segoe UI" w:cs="Segoe UI"/>
          <w:color w:val="303030"/>
          <w:kern w:val="0"/>
          <w:szCs w:val="24"/>
        </w:rPr>
        <w:t>年数字技术融合创新应用解决方案</w:t>
      </w:r>
      <w:r w:rsidRPr="00CE2ACD">
        <w:rPr>
          <w:rFonts w:ascii="Segoe UI" w:hAnsi="Segoe UI" w:cs="Segoe UI"/>
          <w:color w:val="303030"/>
          <w:kern w:val="0"/>
          <w:szCs w:val="24"/>
        </w:rPr>
        <w:t>”</w:t>
      </w:r>
    </w:p>
    <w:p w14:paraId="3BCDD9A2"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MS Gothic" w:eastAsia="MS Gothic" w:hAnsi="MS Gothic" w:cs="MS Gothic" w:hint="eastAsia"/>
          <w:color w:val="303030"/>
          <w:kern w:val="0"/>
          <w:szCs w:val="24"/>
        </w:rPr>
        <w:t>◈</w:t>
      </w:r>
      <w:r w:rsidRPr="00CE2ACD">
        <w:rPr>
          <w:rFonts w:ascii="Segoe UI" w:hAnsi="Segoe UI" w:cs="Segoe UI"/>
          <w:color w:val="303030"/>
          <w:kern w:val="0"/>
          <w:szCs w:val="24"/>
        </w:rPr>
        <w:t> </w:t>
      </w:r>
      <w:r w:rsidRPr="00CE2ACD">
        <w:rPr>
          <w:rFonts w:ascii="Segoe UI" w:hAnsi="Segoe UI" w:cs="Segoe UI"/>
          <w:color w:val="303030"/>
          <w:kern w:val="0"/>
          <w:szCs w:val="24"/>
        </w:rPr>
        <w:t>第二届</w:t>
      </w:r>
      <w:r w:rsidRPr="00CE2ACD">
        <w:rPr>
          <w:rFonts w:ascii="Segoe UI" w:hAnsi="Segoe UI" w:cs="Segoe UI"/>
          <w:color w:val="303030"/>
          <w:kern w:val="0"/>
          <w:szCs w:val="24"/>
        </w:rPr>
        <w:t>“</w:t>
      </w:r>
      <w:r w:rsidRPr="00CE2ACD">
        <w:rPr>
          <w:rFonts w:ascii="Segoe UI" w:hAnsi="Segoe UI" w:cs="Segoe UI"/>
          <w:color w:val="303030"/>
          <w:kern w:val="0"/>
          <w:szCs w:val="24"/>
        </w:rPr>
        <w:t>鼎信杯</w:t>
      </w:r>
      <w:r w:rsidRPr="00CE2ACD">
        <w:rPr>
          <w:rFonts w:ascii="Segoe UI" w:hAnsi="Segoe UI" w:cs="Segoe UI"/>
          <w:color w:val="303030"/>
          <w:kern w:val="0"/>
          <w:szCs w:val="24"/>
        </w:rPr>
        <w:t>”“2021</w:t>
      </w:r>
      <w:r w:rsidRPr="00CE2ACD">
        <w:rPr>
          <w:rFonts w:ascii="Segoe UI" w:hAnsi="Segoe UI" w:cs="Segoe UI"/>
          <w:color w:val="303030"/>
          <w:kern w:val="0"/>
          <w:szCs w:val="24"/>
        </w:rPr>
        <w:t>年服务器操作系统创新应用卓越奖</w:t>
      </w:r>
      <w:r w:rsidRPr="00CE2ACD">
        <w:rPr>
          <w:rFonts w:ascii="Segoe UI" w:hAnsi="Segoe UI" w:cs="Segoe UI"/>
          <w:color w:val="303030"/>
          <w:kern w:val="0"/>
          <w:szCs w:val="24"/>
        </w:rPr>
        <w:t>”5</w:t>
      </w:r>
      <w:r w:rsidRPr="00CE2ACD">
        <w:rPr>
          <w:rFonts w:ascii="Segoe UI" w:hAnsi="Segoe UI" w:cs="Segoe UI"/>
          <w:color w:val="303030"/>
          <w:kern w:val="0"/>
          <w:szCs w:val="24"/>
        </w:rPr>
        <w:t>项、</w:t>
      </w:r>
      <w:r w:rsidRPr="00CE2ACD">
        <w:rPr>
          <w:rFonts w:ascii="Segoe UI" w:hAnsi="Segoe UI" w:cs="Segoe UI"/>
          <w:color w:val="303030"/>
          <w:kern w:val="0"/>
          <w:szCs w:val="24"/>
        </w:rPr>
        <w:t>“2021</w:t>
      </w:r>
      <w:r w:rsidRPr="00CE2ACD">
        <w:rPr>
          <w:rFonts w:ascii="Segoe UI" w:hAnsi="Segoe UI" w:cs="Segoe UI"/>
          <w:color w:val="303030"/>
          <w:kern w:val="0"/>
          <w:szCs w:val="24"/>
        </w:rPr>
        <w:t>年服务器操作系统创新应用先锋奖</w:t>
      </w:r>
      <w:r w:rsidRPr="00CE2ACD">
        <w:rPr>
          <w:rFonts w:ascii="Segoe UI" w:hAnsi="Segoe UI" w:cs="Segoe UI"/>
          <w:color w:val="303030"/>
          <w:kern w:val="0"/>
          <w:szCs w:val="24"/>
        </w:rPr>
        <w:t>”4</w:t>
      </w:r>
      <w:r w:rsidRPr="00CE2ACD">
        <w:rPr>
          <w:rFonts w:ascii="Segoe UI" w:hAnsi="Segoe UI" w:cs="Segoe UI"/>
          <w:color w:val="303030"/>
          <w:kern w:val="0"/>
          <w:szCs w:val="24"/>
        </w:rPr>
        <w:t>项</w:t>
      </w:r>
    </w:p>
    <w:p w14:paraId="6322FEC1"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MS Gothic" w:eastAsia="MS Gothic" w:hAnsi="MS Gothic" w:cs="MS Gothic" w:hint="eastAsia"/>
          <w:color w:val="303030"/>
          <w:kern w:val="0"/>
          <w:szCs w:val="24"/>
        </w:rPr>
        <w:t>◈</w:t>
      </w:r>
      <w:r w:rsidRPr="00CE2ACD">
        <w:rPr>
          <w:rFonts w:ascii="Segoe UI" w:hAnsi="Segoe UI" w:cs="Segoe UI"/>
          <w:color w:val="303030"/>
          <w:kern w:val="0"/>
          <w:szCs w:val="24"/>
        </w:rPr>
        <w:t> </w:t>
      </w:r>
      <w:r w:rsidRPr="00CE2ACD">
        <w:rPr>
          <w:rFonts w:ascii="Segoe UI" w:hAnsi="Segoe UI" w:cs="Segoe UI"/>
          <w:color w:val="303030"/>
          <w:kern w:val="0"/>
          <w:szCs w:val="24"/>
        </w:rPr>
        <w:t>中国软件协会颁发的</w:t>
      </w:r>
      <w:r w:rsidRPr="00CE2ACD">
        <w:rPr>
          <w:rFonts w:ascii="Segoe UI" w:hAnsi="Segoe UI" w:cs="Segoe UI"/>
          <w:color w:val="303030"/>
          <w:kern w:val="0"/>
          <w:szCs w:val="24"/>
        </w:rPr>
        <w:t>“2022</w:t>
      </w:r>
      <w:r w:rsidRPr="00CE2ACD">
        <w:rPr>
          <w:rFonts w:ascii="Segoe UI" w:hAnsi="Segoe UI" w:cs="Segoe UI"/>
          <w:color w:val="303030"/>
          <w:kern w:val="0"/>
          <w:szCs w:val="24"/>
        </w:rPr>
        <w:t>年软件行业典型示范案例</w:t>
      </w:r>
      <w:r w:rsidRPr="00CE2ACD">
        <w:rPr>
          <w:rFonts w:ascii="Segoe UI" w:hAnsi="Segoe UI" w:cs="Segoe UI"/>
          <w:color w:val="303030"/>
          <w:kern w:val="0"/>
          <w:szCs w:val="24"/>
        </w:rPr>
        <w:t>”</w:t>
      </w:r>
    </w:p>
    <w:p w14:paraId="50942953"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MS Gothic" w:eastAsia="MS Gothic" w:hAnsi="MS Gothic" w:cs="MS Gothic" w:hint="eastAsia"/>
          <w:color w:val="303030"/>
          <w:kern w:val="0"/>
          <w:szCs w:val="24"/>
        </w:rPr>
        <w:t>◈</w:t>
      </w:r>
      <w:r w:rsidRPr="00CE2ACD">
        <w:rPr>
          <w:rFonts w:ascii="Segoe UI" w:hAnsi="Segoe UI" w:cs="Segoe UI"/>
          <w:color w:val="303030"/>
          <w:kern w:val="0"/>
          <w:szCs w:val="24"/>
        </w:rPr>
        <w:t> </w:t>
      </w:r>
      <w:r w:rsidRPr="00CE2ACD">
        <w:rPr>
          <w:rFonts w:ascii="Segoe UI" w:hAnsi="Segoe UI" w:cs="Segoe UI"/>
          <w:color w:val="303030"/>
          <w:kern w:val="0"/>
          <w:szCs w:val="24"/>
        </w:rPr>
        <w:t>工业和信息化部网络安全产业发展中心颁发的</w:t>
      </w:r>
      <w:r w:rsidRPr="00CE2ACD">
        <w:rPr>
          <w:rFonts w:ascii="Segoe UI" w:hAnsi="Segoe UI" w:cs="Segoe UI"/>
          <w:color w:val="303030"/>
          <w:kern w:val="0"/>
          <w:szCs w:val="24"/>
        </w:rPr>
        <w:t>“2022</w:t>
      </w:r>
      <w:r w:rsidRPr="00CE2ACD">
        <w:rPr>
          <w:rFonts w:ascii="Segoe UI" w:hAnsi="Segoe UI" w:cs="Segoe UI"/>
          <w:color w:val="303030"/>
          <w:kern w:val="0"/>
          <w:szCs w:val="24"/>
        </w:rPr>
        <w:t>年信息技术应用创新解决方案</w:t>
      </w:r>
      <w:r w:rsidRPr="00CE2ACD">
        <w:rPr>
          <w:rFonts w:ascii="Segoe UI" w:hAnsi="Segoe UI" w:cs="Segoe UI"/>
          <w:color w:val="303030"/>
          <w:kern w:val="0"/>
          <w:szCs w:val="24"/>
        </w:rPr>
        <w:t>”</w:t>
      </w:r>
    </w:p>
    <w:p w14:paraId="5F022E9D"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MS Gothic" w:eastAsia="MS Gothic" w:hAnsi="MS Gothic" w:cs="MS Gothic" w:hint="eastAsia"/>
          <w:color w:val="303030"/>
          <w:kern w:val="0"/>
          <w:szCs w:val="24"/>
        </w:rPr>
        <w:t>◈</w:t>
      </w:r>
      <w:r w:rsidRPr="00CE2ACD">
        <w:rPr>
          <w:rFonts w:ascii="Segoe UI" w:hAnsi="Segoe UI" w:cs="Segoe UI"/>
          <w:color w:val="303030"/>
          <w:kern w:val="0"/>
          <w:szCs w:val="24"/>
        </w:rPr>
        <w:t> 2023“</w:t>
      </w:r>
      <w:r w:rsidRPr="00CE2ACD">
        <w:rPr>
          <w:rFonts w:ascii="Segoe UI" w:hAnsi="Segoe UI" w:cs="Segoe UI"/>
          <w:color w:val="303030"/>
          <w:kern w:val="0"/>
          <w:szCs w:val="24"/>
        </w:rPr>
        <w:t>金鼎奖</w:t>
      </w:r>
      <w:r w:rsidRPr="00CE2ACD">
        <w:rPr>
          <w:rFonts w:ascii="Segoe UI" w:hAnsi="Segoe UI" w:cs="Segoe UI"/>
          <w:color w:val="303030"/>
          <w:kern w:val="0"/>
          <w:szCs w:val="24"/>
        </w:rPr>
        <w:t>”</w:t>
      </w:r>
      <w:r w:rsidRPr="00CE2ACD">
        <w:rPr>
          <w:rFonts w:ascii="Segoe UI" w:hAnsi="Segoe UI" w:cs="Segoe UI"/>
          <w:color w:val="303030"/>
          <w:kern w:val="0"/>
          <w:szCs w:val="24"/>
        </w:rPr>
        <w:t>优秀金融科技解决方案奖</w:t>
      </w:r>
    </w:p>
    <w:p w14:paraId="71C33897" w14:textId="42ACB956" w:rsidR="00CE2ACD" w:rsidRPr="00CE2ACD" w:rsidRDefault="00CE2ACD" w:rsidP="00CE2ACD">
      <w:pPr>
        <w:widowControl/>
        <w:shd w:val="clear" w:color="auto" w:fill="FFFFFF"/>
        <w:spacing w:before="100" w:beforeAutospacing="1"/>
        <w:jc w:val="center"/>
        <w:outlineLvl w:val="1"/>
        <w:rPr>
          <w:rFonts w:ascii="Segoe UI" w:hAnsi="Segoe UI" w:cs="Segoe UI"/>
          <w:color w:val="303030"/>
          <w:kern w:val="0"/>
          <w:sz w:val="36"/>
          <w:szCs w:val="36"/>
        </w:rPr>
      </w:pPr>
      <w:r w:rsidRPr="00CE2ACD">
        <w:rPr>
          <w:rFonts w:ascii="Segoe UI" w:hAnsi="Segoe UI" w:cs="Segoe UI"/>
          <w:color w:val="303030"/>
          <w:kern w:val="0"/>
          <w:sz w:val="36"/>
          <w:szCs w:val="36"/>
        </w:rPr>
        <w:t>从产品到服务</w:t>
      </w:r>
    </w:p>
    <w:p w14:paraId="695EE6D9" w14:textId="3B1C2B0F" w:rsidR="00CE2ACD" w:rsidRPr="00CE2ACD" w:rsidRDefault="00CE2ACD" w:rsidP="00CE2ACD">
      <w:pPr>
        <w:widowControl/>
        <w:shd w:val="clear" w:color="auto" w:fill="FFFFFF"/>
        <w:spacing w:before="100" w:beforeAutospacing="1"/>
        <w:jc w:val="center"/>
        <w:outlineLvl w:val="1"/>
        <w:rPr>
          <w:rFonts w:ascii="Segoe UI" w:hAnsi="Segoe UI" w:cs="Segoe UI"/>
          <w:color w:val="303030"/>
          <w:kern w:val="0"/>
          <w:sz w:val="36"/>
          <w:szCs w:val="36"/>
        </w:rPr>
      </w:pPr>
      <w:r w:rsidRPr="00CE2ACD">
        <w:rPr>
          <w:rFonts w:ascii="Segoe UI" w:hAnsi="Segoe UI" w:cs="Segoe UI"/>
          <w:color w:val="303030"/>
          <w:kern w:val="0"/>
          <w:sz w:val="36"/>
          <w:szCs w:val="36"/>
        </w:rPr>
        <w:t>统信方案对行业有借鉴意义</w:t>
      </w:r>
    </w:p>
    <w:p w14:paraId="78CB058B"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Segoe UI" w:hAnsi="Segoe UI" w:cs="Segoe UI"/>
          <w:color w:val="303030"/>
          <w:kern w:val="0"/>
          <w:szCs w:val="24"/>
        </w:rPr>
        <w:t>运营商有其行业特点：</w:t>
      </w:r>
    </w:p>
    <w:p w14:paraId="1FA0A939" w14:textId="77777777" w:rsidR="00CE2ACD" w:rsidRPr="00CE2ACD" w:rsidRDefault="00CE2ACD" w:rsidP="00CE2ACD">
      <w:pPr>
        <w:pStyle w:val="a3"/>
        <w:numPr>
          <w:ilvl w:val="0"/>
          <w:numId w:val="10"/>
        </w:numPr>
        <w:ind w:firstLineChars="0"/>
      </w:pPr>
      <w:r w:rsidRPr="00CE2ACD">
        <w:t>一方面，无论是通用算力的</w:t>
      </w:r>
      <w:r w:rsidRPr="00CE2ACD">
        <w:t>“</w:t>
      </w:r>
      <w:r w:rsidRPr="00CE2ACD">
        <w:t>算网一体</w:t>
      </w:r>
      <w:r w:rsidRPr="00CE2ACD">
        <w:t>”</w:t>
      </w:r>
      <w:r w:rsidRPr="00CE2ACD">
        <w:t>还是智能算力的全球博弈，三大运营商作为国家队将持续扩大算力规模和基础设施建设，操作系统产品和服务市场前景广阔；</w:t>
      </w:r>
    </w:p>
    <w:p w14:paraId="7188AFC5" w14:textId="77777777" w:rsidR="00CE2ACD" w:rsidRPr="00CE2ACD" w:rsidRDefault="00CE2ACD" w:rsidP="00CE2ACD">
      <w:pPr>
        <w:pStyle w:val="a3"/>
        <w:numPr>
          <w:ilvl w:val="0"/>
          <w:numId w:val="10"/>
        </w:numPr>
        <w:ind w:firstLineChars="0"/>
      </w:pPr>
      <w:r w:rsidRPr="00CE2ACD">
        <w:t>另一方面，较其他行业，运营商自身具备较强的</w:t>
      </w:r>
      <w:r w:rsidRPr="00CE2ACD">
        <w:t>IT</w:t>
      </w:r>
      <w:r w:rsidRPr="00CE2ACD">
        <w:t>能力，倾向于自研应用软件和业务系统，同时对于服务供应商的能力有较高要求。</w:t>
      </w:r>
    </w:p>
    <w:p w14:paraId="23CBFE05"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Segoe UI" w:hAnsi="Segoe UI" w:cs="Segoe UI"/>
          <w:color w:val="303030"/>
          <w:kern w:val="0"/>
          <w:szCs w:val="24"/>
        </w:rPr>
        <w:t>而金融行业情况类似，近期，中信、工行、邮储、浦发等银行大标频现，国产芯片服务器等基础硬件需求旺盛。</w:t>
      </w:r>
    </w:p>
    <w:p w14:paraId="63DCDD8E"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Segoe UI" w:hAnsi="Segoe UI" w:cs="Segoe UI"/>
          <w:color w:val="303030"/>
          <w:kern w:val="0"/>
          <w:szCs w:val="24"/>
        </w:rPr>
        <w:lastRenderedPageBreak/>
        <w:t>虽然从</w:t>
      </w:r>
      <w:r w:rsidRPr="00CE2ACD">
        <w:rPr>
          <w:rFonts w:ascii="Segoe UI" w:hAnsi="Segoe UI" w:cs="Segoe UI"/>
          <w:color w:val="303030"/>
          <w:kern w:val="0"/>
          <w:szCs w:val="24"/>
        </w:rPr>
        <w:t>2013</w:t>
      </w:r>
      <w:r w:rsidRPr="00CE2ACD">
        <w:rPr>
          <w:rFonts w:ascii="Segoe UI" w:hAnsi="Segoe UI" w:cs="Segoe UI"/>
          <w:color w:val="303030"/>
          <w:kern w:val="0"/>
          <w:szCs w:val="24"/>
        </w:rPr>
        <w:t>年起国内银行</w:t>
      </w:r>
      <w:r w:rsidRPr="00CE2ACD">
        <w:rPr>
          <w:rFonts w:ascii="Segoe UI" w:hAnsi="Segoe UI" w:cs="Segoe UI"/>
          <w:color w:val="303030"/>
          <w:kern w:val="0"/>
          <w:szCs w:val="24"/>
        </w:rPr>
        <w:t>IT</w:t>
      </w:r>
      <w:r w:rsidRPr="00CE2ACD">
        <w:rPr>
          <w:rFonts w:ascii="Segoe UI" w:hAnsi="Segoe UI" w:cs="Segoe UI"/>
          <w:color w:val="303030"/>
          <w:kern w:val="0"/>
          <w:szCs w:val="24"/>
        </w:rPr>
        <w:t>系统大多已由国内供应商提供，看似不存在替换空间，但</w:t>
      </w:r>
      <w:r w:rsidRPr="00CE2ACD">
        <w:rPr>
          <w:rFonts w:ascii="Segoe UI" w:hAnsi="Segoe UI" w:cs="Segoe UI"/>
          <w:b/>
          <w:bCs/>
          <w:color w:val="303030"/>
          <w:kern w:val="0"/>
          <w:szCs w:val="24"/>
        </w:rPr>
        <w:t>IT</w:t>
      </w:r>
      <w:r w:rsidRPr="00CE2ACD">
        <w:rPr>
          <w:rFonts w:ascii="Segoe UI" w:hAnsi="Segoe UI" w:cs="Segoe UI"/>
          <w:b/>
          <w:bCs/>
          <w:color w:val="303030"/>
          <w:kern w:val="0"/>
          <w:szCs w:val="24"/>
        </w:rPr>
        <w:t>底座的更换必将带来上层应用的适配需求</w:t>
      </w:r>
      <w:r w:rsidRPr="00CE2ACD">
        <w:rPr>
          <w:rFonts w:ascii="Segoe UI" w:hAnsi="Segoe UI" w:cs="Segoe UI"/>
          <w:color w:val="303030"/>
          <w:kern w:val="0"/>
          <w:szCs w:val="24"/>
        </w:rPr>
        <w:t>。</w:t>
      </w:r>
    </w:p>
    <w:p w14:paraId="2B2C8553" w14:textId="7CD37459" w:rsidR="00CE2ACD" w:rsidRPr="00CE2ACD" w:rsidRDefault="00CE2ACD" w:rsidP="00CE2ACD">
      <w:pPr>
        <w:widowControl/>
        <w:shd w:val="clear" w:color="auto" w:fill="FFFFFF"/>
        <w:jc w:val="left"/>
        <w:rPr>
          <w:rFonts w:ascii="Segoe UI" w:hAnsi="Segoe UI" w:cs="Segoe UI"/>
          <w:color w:val="303030"/>
          <w:kern w:val="0"/>
          <w:sz w:val="27"/>
          <w:szCs w:val="27"/>
        </w:rPr>
      </w:pPr>
      <w:r w:rsidRPr="00CE2ACD">
        <w:rPr>
          <w:rFonts w:ascii="Segoe UI" w:hAnsi="Segoe UI" w:cs="Segoe UI"/>
          <w:noProof/>
          <w:color w:val="303030"/>
          <w:kern w:val="0"/>
          <w:sz w:val="27"/>
          <w:szCs w:val="27"/>
        </w:rPr>
        <w:drawing>
          <wp:inline distT="0" distB="0" distL="0" distR="0" wp14:anchorId="7C364ECD" wp14:editId="5A835EAA">
            <wp:extent cx="5278120" cy="2247265"/>
            <wp:effectExtent l="0" t="0" r="0" b="635"/>
            <wp:docPr id="13933037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8120" cy="2247265"/>
                    </a:xfrm>
                    <a:prstGeom prst="rect">
                      <a:avLst/>
                    </a:prstGeom>
                    <a:noFill/>
                    <a:ln>
                      <a:noFill/>
                    </a:ln>
                  </pic:spPr>
                </pic:pic>
              </a:graphicData>
            </a:graphic>
          </wp:inline>
        </w:drawing>
      </w:r>
    </w:p>
    <w:p w14:paraId="66039AD7"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Segoe UI" w:hAnsi="Segoe UI" w:cs="Segoe UI"/>
          <w:color w:val="303030"/>
          <w:kern w:val="0"/>
          <w:szCs w:val="24"/>
        </w:rPr>
        <w:t>目前已经进入大行核心替换试点阶段，随后小行将会跟进。随着集成业务高峰来临，银行</w:t>
      </w:r>
      <w:r w:rsidRPr="00CE2ACD">
        <w:rPr>
          <w:rFonts w:ascii="Segoe UI" w:hAnsi="Segoe UI" w:cs="Segoe UI"/>
          <w:color w:val="303030"/>
          <w:kern w:val="0"/>
          <w:szCs w:val="24"/>
        </w:rPr>
        <w:t>IT</w:t>
      </w:r>
      <w:r w:rsidRPr="00CE2ACD">
        <w:rPr>
          <w:rFonts w:ascii="Segoe UI" w:hAnsi="Segoe UI" w:cs="Segoe UI"/>
          <w:color w:val="303030"/>
          <w:kern w:val="0"/>
          <w:szCs w:val="24"/>
        </w:rPr>
        <w:t>公司软件服务业务高峰即将到来。</w:t>
      </w:r>
    </w:p>
    <w:p w14:paraId="33581434"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Segoe UI" w:hAnsi="Segoe UI" w:cs="Segoe UI"/>
          <w:color w:val="303030"/>
          <w:kern w:val="0"/>
          <w:szCs w:val="24"/>
        </w:rPr>
        <w:t>在持续的市场竞争压力下，对解决方案服务商的产品韧性、服务韧性、运营韧性等要求更加突出，不仅需要提供解决方案的专业化及精细化能力，亦需能根据市场需求及变化提高解决方案的创新性及灵活性，紧抓银行在各细分领域的个性化服务需求，以生态合作或联合服务的方式提供相关解决方案，以此提高解决方案服务的整体韧性。</w:t>
      </w:r>
    </w:p>
    <w:p w14:paraId="550BF085" w14:textId="38A2CDBD" w:rsidR="00CE2ACD" w:rsidRPr="00CE2ACD" w:rsidRDefault="00CE2ACD" w:rsidP="00CE2ACD">
      <w:pPr>
        <w:widowControl/>
        <w:shd w:val="clear" w:color="auto" w:fill="FFFFFF"/>
        <w:wordWrap w:val="0"/>
        <w:jc w:val="right"/>
        <w:rPr>
          <w:rFonts w:ascii="Segoe UI" w:hAnsi="Segoe UI" w:cs="Segoe UI"/>
          <w:kern w:val="0"/>
          <w:szCs w:val="24"/>
        </w:rPr>
      </w:pPr>
      <w:r w:rsidRPr="00CE2ACD">
        <w:rPr>
          <w:rFonts w:ascii="Segoe UI" w:hAnsi="Segoe UI" w:cs="Segoe UI"/>
          <w:kern w:val="0"/>
          <w:szCs w:val="24"/>
        </w:rPr>
        <w:t>----</w:t>
      </w:r>
      <w:r w:rsidRPr="00CE2ACD">
        <w:rPr>
          <w:rFonts w:ascii="Segoe UI" w:hAnsi="Segoe UI" w:cs="Segoe UI"/>
          <w:kern w:val="0"/>
          <w:szCs w:val="24"/>
        </w:rPr>
        <w:t>IDC</w:t>
      </w:r>
      <w:r w:rsidRPr="00CE2ACD">
        <w:rPr>
          <w:rFonts w:ascii="Segoe UI" w:hAnsi="Segoe UI" w:cs="Segoe UI"/>
          <w:kern w:val="0"/>
          <w:szCs w:val="24"/>
        </w:rPr>
        <w:t>认为</w:t>
      </w:r>
    </w:p>
    <w:p w14:paraId="46171228" w14:textId="6D98F9E3" w:rsidR="00CE2ACD" w:rsidRPr="00CE2ACD" w:rsidRDefault="00CE2ACD" w:rsidP="00CE2ACD">
      <w:pPr>
        <w:widowControl/>
        <w:shd w:val="clear" w:color="auto" w:fill="FFFFFF"/>
        <w:jc w:val="center"/>
        <w:rPr>
          <w:rFonts w:ascii="Segoe UI" w:hAnsi="Segoe UI" w:cs="Segoe UI"/>
          <w:color w:val="303030"/>
          <w:kern w:val="0"/>
          <w:sz w:val="27"/>
          <w:szCs w:val="27"/>
        </w:rPr>
      </w:pPr>
      <w:r w:rsidRPr="00CE2ACD">
        <w:rPr>
          <w:rFonts w:ascii="Segoe UI" w:hAnsi="Segoe UI" w:cs="Segoe UI"/>
          <w:noProof/>
          <w:color w:val="303030"/>
          <w:kern w:val="0"/>
          <w:sz w:val="27"/>
          <w:szCs w:val="27"/>
        </w:rPr>
        <w:drawing>
          <wp:inline distT="0" distB="0" distL="0" distR="0" wp14:anchorId="4A7A0E86" wp14:editId="0A79615E">
            <wp:extent cx="525780" cy="525780"/>
            <wp:effectExtent l="0" t="0" r="7620" b="7620"/>
            <wp:docPr id="3943174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5780" cy="525780"/>
                    </a:xfrm>
                    <a:prstGeom prst="rect">
                      <a:avLst/>
                    </a:prstGeom>
                    <a:noFill/>
                    <a:ln>
                      <a:noFill/>
                    </a:ln>
                  </pic:spPr>
                </pic:pic>
              </a:graphicData>
            </a:graphic>
          </wp:inline>
        </w:drawing>
      </w:r>
    </w:p>
    <w:p w14:paraId="7E205B53"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Segoe UI" w:hAnsi="Segoe UI" w:cs="Segoe UI"/>
          <w:color w:val="303030"/>
          <w:kern w:val="0"/>
          <w:szCs w:val="24"/>
        </w:rPr>
        <w:t>作为深度参与八大关键行业国产化进程的统信软件，将持续以全球主流的操作系统产品及解决方案、以全栈服务能力和精益求精的服务品质，携手行业客户打造更多标杆，创造更高价值。</w:t>
      </w:r>
    </w:p>
    <w:p w14:paraId="3A5C7457" w14:textId="18BEDA7F" w:rsidR="00CE2ACD" w:rsidRPr="00CE2ACD" w:rsidRDefault="00CE2ACD" w:rsidP="00CE2ACD">
      <w:pPr>
        <w:widowControl/>
        <w:shd w:val="clear" w:color="auto" w:fill="FFFFFF"/>
        <w:jc w:val="left"/>
        <w:rPr>
          <w:rFonts w:ascii="Segoe UI" w:hAnsi="Segoe UI" w:cs="Segoe UI"/>
          <w:color w:val="303030"/>
          <w:kern w:val="0"/>
          <w:sz w:val="27"/>
          <w:szCs w:val="27"/>
        </w:rPr>
      </w:pPr>
      <w:r w:rsidRPr="00CE2ACD">
        <w:rPr>
          <w:rFonts w:ascii="Segoe UI" w:hAnsi="Segoe UI" w:cs="Segoe UI"/>
          <w:noProof/>
          <w:color w:val="303030"/>
          <w:kern w:val="0"/>
          <w:sz w:val="27"/>
          <w:szCs w:val="27"/>
        </w:rPr>
        <w:drawing>
          <wp:inline distT="0" distB="0" distL="0" distR="0" wp14:anchorId="478C14DA" wp14:editId="3B85D811">
            <wp:extent cx="5278120" cy="2971165"/>
            <wp:effectExtent l="0" t="0" r="0" b="635"/>
            <wp:docPr id="17145441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8120" cy="2971165"/>
                    </a:xfrm>
                    <a:prstGeom prst="rect">
                      <a:avLst/>
                    </a:prstGeom>
                    <a:noFill/>
                    <a:ln>
                      <a:noFill/>
                    </a:ln>
                  </pic:spPr>
                </pic:pic>
              </a:graphicData>
            </a:graphic>
          </wp:inline>
        </w:drawing>
      </w:r>
    </w:p>
    <w:p w14:paraId="07E80ABF" w14:textId="52E81271" w:rsidR="00CE2ACD" w:rsidRPr="00CE2ACD" w:rsidRDefault="00CE2ACD" w:rsidP="00CE2ACD">
      <w:pPr>
        <w:widowControl/>
        <w:jc w:val="left"/>
        <w:rPr>
          <w:rFonts w:ascii="宋体" w:hAnsi="宋体" w:cs="宋体"/>
          <w:kern w:val="0"/>
          <w:szCs w:val="24"/>
        </w:rPr>
      </w:pPr>
    </w:p>
    <w:p w14:paraId="6BF0EC65" w14:textId="77777777" w:rsidR="00CE2ACD" w:rsidRPr="00CE2ACD" w:rsidRDefault="00CE2ACD" w:rsidP="00CE2ACD">
      <w:pPr>
        <w:widowControl/>
        <w:shd w:val="clear" w:color="auto" w:fill="FFFFFF"/>
        <w:jc w:val="left"/>
        <w:rPr>
          <w:rFonts w:ascii="Segoe UI" w:hAnsi="Segoe UI" w:cs="Segoe UI"/>
          <w:color w:val="303030"/>
          <w:kern w:val="0"/>
          <w:szCs w:val="24"/>
        </w:rPr>
      </w:pPr>
      <w:r w:rsidRPr="00CE2ACD">
        <w:rPr>
          <w:rFonts w:ascii="Segoe UI" w:hAnsi="Segoe UI" w:cs="Segoe UI"/>
          <w:color w:val="303030"/>
          <w:kern w:val="0"/>
          <w:szCs w:val="24"/>
        </w:rPr>
        <w:lastRenderedPageBreak/>
        <w:t>©</w:t>
      </w:r>
      <w:r w:rsidRPr="00CE2ACD">
        <w:rPr>
          <w:rFonts w:ascii="Segoe UI" w:hAnsi="Segoe UI" w:cs="Segoe UI"/>
          <w:color w:val="303030"/>
          <w:kern w:val="0"/>
          <w:szCs w:val="24"/>
        </w:rPr>
        <w:t>统信软件技术有限公司。访问者可将本网站提供的内容或服务用于个人学习、研究或欣赏，以及其他非商业性或非盈利性用途，但同时应遵守著作权法及其他相关法律的规定，不得侵犯本网站及相关权利人的合法权利。除此以外，将本网站任何内容或服务进行转载，须备注：</w:t>
      </w:r>
      <w:r w:rsidRPr="00CE2ACD">
        <w:rPr>
          <w:rFonts w:ascii="Segoe UI" w:hAnsi="Segoe UI" w:cs="Segoe UI"/>
          <w:b/>
          <w:bCs/>
          <w:color w:val="303030"/>
          <w:kern w:val="0"/>
          <w:szCs w:val="24"/>
        </w:rPr>
        <w:t>该文档出自【</w:t>
      </w:r>
      <w:r w:rsidRPr="00CE2ACD">
        <w:rPr>
          <w:rFonts w:ascii="Segoe UI" w:hAnsi="Segoe UI" w:cs="Segoe UI"/>
          <w:b/>
          <w:bCs/>
          <w:color w:val="303030"/>
          <w:kern w:val="0"/>
          <w:szCs w:val="24"/>
        </w:rPr>
        <w:t>faq.uniontech.com</w:t>
      </w:r>
      <w:r w:rsidRPr="00CE2ACD">
        <w:rPr>
          <w:rFonts w:ascii="Segoe UI" w:hAnsi="Segoe UI" w:cs="Segoe UI"/>
          <w:b/>
          <w:bCs/>
          <w:color w:val="303030"/>
          <w:kern w:val="0"/>
          <w:szCs w:val="24"/>
        </w:rPr>
        <w:t>】统信软件知识分享平台</w:t>
      </w:r>
      <w:r w:rsidRPr="00CE2ACD">
        <w:rPr>
          <w:rFonts w:ascii="Segoe UI" w:hAnsi="Segoe UI" w:cs="Segoe UI"/>
          <w:color w:val="303030"/>
          <w:kern w:val="0"/>
          <w:szCs w:val="24"/>
        </w:rPr>
        <w:t>。否则统信软件将追究相关版权责任。</w:t>
      </w:r>
    </w:p>
    <w:p w14:paraId="5BE29ABB" w14:textId="77777777" w:rsidR="00130C09" w:rsidRPr="00CE2ACD" w:rsidRDefault="00130C09" w:rsidP="00CE2ACD"/>
    <w:sectPr w:rsidR="00130C09" w:rsidRPr="00CE2ACD" w:rsidSect="00700019">
      <w:pgSz w:w="11906" w:h="16838" w:code="9"/>
      <w:pgMar w:top="1440" w:right="1797" w:bottom="1440" w:left="1797" w:header="851" w:footer="992" w:gutter="0"/>
      <w:cols w:space="425"/>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D7ABE"/>
    <w:multiLevelType w:val="multilevel"/>
    <w:tmpl w:val="58D44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CF8305A"/>
    <w:multiLevelType w:val="multilevel"/>
    <w:tmpl w:val="57223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49426CA"/>
    <w:multiLevelType w:val="multilevel"/>
    <w:tmpl w:val="8A567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8007296"/>
    <w:multiLevelType w:val="multilevel"/>
    <w:tmpl w:val="4BF42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311D64F3"/>
    <w:multiLevelType w:val="multilevel"/>
    <w:tmpl w:val="FFD42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1F1258B"/>
    <w:multiLevelType w:val="hybridMultilevel"/>
    <w:tmpl w:val="FDAAFB8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375B5719"/>
    <w:multiLevelType w:val="multilevel"/>
    <w:tmpl w:val="322AD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46183F2F"/>
    <w:multiLevelType w:val="hybridMultilevel"/>
    <w:tmpl w:val="5450FAD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4703799E"/>
    <w:multiLevelType w:val="multilevel"/>
    <w:tmpl w:val="09D8E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6C8A383F"/>
    <w:multiLevelType w:val="multilevel"/>
    <w:tmpl w:val="1638D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74971481"/>
    <w:multiLevelType w:val="hybridMultilevel"/>
    <w:tmpl w:val="96384BA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7E9A35D1"/>
    <w:multiLevelType w:val="multilevel"/>
    <w:tmpl w:val="C012F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475731485">
    <w:abstractNumId w:val="0"/>
  </w:num>
  <w:num w:numId="2" w16cid:durableId="297810069">
    <w:abstractNumId w:val="11"/>
  </w:num>
  <w:num w:numId="3" w16cid:durableId="1869178501">
    <w:abstractNumId w:val="9"/>
  </w:num>
  <w:num w:numId="4" w16cid:durableId="1009723858">
    <w:abstractNumId w:val="1"/>
  </w:num>
  <w:num w:numId="5" w16cid:durableId="1846625669">
    <w:abstractNumId w:val="3"/>
  </w:num>
  <w:num w:numId="6" w16cid:durableId="2024699209">
    <w:abstractNumId w:val="4"/>
  </w:num>
  <w:num w:numId="7" w16cid:durableId="697048743">
    <w:abstractNumId w:val="6"/>
  </w:num>
  <w:num w:numId="8" w16cid:durableId="1430201613">
    <w:abstractNumId w:val="2"/>
  </w:num>
  <w:num w:numId="9" w16cid:durableId="1968899836">
    <w:abstractNumId w:val="8"/>
  </w:num>
  <w:num w:numId="10" w16cid:durableId="318534017">
    <w:abstractNumId w:val="5"/>
  </w:num>
  <w:num w:numId="11" w16cid:durableId="1432553948">
    <w:abstractNumId w:val="10"/>
  </w:num>
  <w:num w:numId="12" w16cid:durableId="203302279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63F5"/>
    <w:rsid w:val="00130C09"/>
    <w:rsid w:val="004A63E9"/>
    <w:rsid w:val="005663F5"/>
    <w:rsid w:val="00700019"/>
    <w:rsid w:val="00751F93"/>
    <w:rsid w:val="00CE2A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BD4AB7"/>
  <w15:chartTrackingRefBased/>
  <w15:docId w15:val="{3D0B60CD-92DC-4726-91EF-7828A2928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51F93"/>
    <w:pPr>
      <w:widowControl w:val="0"/>
      <w:jc w:val="both"/>
    </w:pPr>
    <w:rPr>
      <w:rFonts w:eastAsia="宋体"/>
      <w:sz w:val="24"/>
    </w:rPr>
  </w:style>
  <w:style w:type="paragraph" w:styleId="2">
    <w:name w:val="heading 2"/>
    <w:basedOn w:val="a"/>
    <w:link w:val="20"/>
    <w:uiPriority w:val="9"/>
    <w:qFormat/>
    <w:rsid w:val="00CE2ACD"/>
    <w:pPr>
      <w:widowControl/>
      <w:spacing w:before="100" w:beforeAutospacing="1" w:after="100" w:afterAutospacing="1"/>
      <w:jc w:val="left"/>
      <w:outlineLvl w:val="1"/>
    </w:pPr>
    <w:rPr>
      <w:rFonts w:ascii="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CE2ACD"/>
    <w:rPr>
      <w:rFonts w:ascii="宋体" w:eastAsia="宋体" w:hAnsi="宋体" w:cs="宋体"/>
      <w:b/>
      <w:bCs/>
      <w:kern w:val="0"/>
      <w:sz w:val="36"/>
      <w:szCs w:val="36"/>
    </w:rPr>
  </w:style>
  <w:style w:type="paragraph" w:styleId="a3">
    <w:name w:val="List Paragraph"/>
    <w:basedOn w:val="a"/>
    <w:uiPriority w:val="34"/>
    <w:qFormat/>
    <w:rsid w:val="00CE2ACD"/>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5103266">
      <w:bodyDiv w:val="1"/>
      <w:marLeft w:val="0"/>
      <w:marRight w:val="0"/>
      <w:marTop w:val="0"/>
      <w:marBottom w:val="0"/>
      <w:divBdr>
        <w:top w:val="none" w:sz="0" w:space="0" w:color="auto"/>
        <w:left w:val="none" w:sz="0" w:space="0" w:color="auto"/>
        <w:bottom w:val="none" w:sz="0" w:space="0" w:color="auto"/>
        <w:right w:val="none" w:sz="0" w:space="0" w:color="auto"/>
      </w:divBdr>
      <w:divsChild>
        <w:div w:id="72361500">
          <w:marLeft w:val="0"/>
          <w:marRight w:val="0"/>
          <w:marTop w:val="0"/>
          <w:marBottom w:val="0"/>
          <w:divBdr>
            <w:top w:val="single" w:sz="2" w:space="0" w:color="auto"/>
            <w:left w:val="single" w:sz="2" w:space="0" w:color="auto"/>
            <w:bottom w:val="single" w:sz="2" w:space="0" w:color="auto"/>
            <w:right w:val="single" w:sz="2" w:space="0" w:color="auto"/>
          </w:divBdr>
          <w:divsChild>
            <w:div w:id="581061684">
              <w:marLeft w:val="0"/>
              <w:marRight w:val="0"/>
              <w:marTop w:val="0"/>
              <w:marBottom w:val="0"/>
              <w:divBdr>
                <w:top w:val="single" w:sz="2" w:space="0" w:color="auto"/>
                <w:left w:val="single" w:sz="2" w:space="0" w:color="auto"/>
                <w:bottom w:val="single" w:sz="2" w:space="0" w:color="auto"/>
                <w:right w:val="single" w:sz="2" w:space="0" w:color="auto"/>
              </w:divBdr>
            </w:div>
          </w:divsChild>
        </w:div>
        <w:div w:id="1421102112">
          <w:marLeft w:val="0"/>
          <w:marRight w:val="0"/>
          <w:marTop w:val="150"/>
          <w:marBottom w:val="150"/>
          <w:divBdr>
            <w:top w:val="single" w:sz="2" w:space="4" w:color="auto"/>
            <w:left w:val="single" w:sz="12" w:space="8" w:color="CCCCCC"/>
            <w:bottom w:val="single" w:sz="2" w:space="4" w:color="auto"/>
            <w:right w:val="single" w:sz="2" w:space="8" w:color="auto"/>
          </w:divBdr>
          <w:divsChild>
            <w:div w:id="546256728">
              <w:marLeft w:val="0"/>
              <w:marRight w:val="0"/>
              <w:marTop w:val="0"/>
              <w:marBottom w:val="0"/>
              <w:divBdr>
                <w:top w:val="single" w:sz="2" w:space="0" w:color="auto"/>
                <w:left w:val="single" w:sz="2" w:space="0" w:color="auto"/>
                <w:bottom w:val="single" w:sz="2" w:space="0" w:color="auto"/>
                <w:right w:val="single" w:sz="2" w:space="0" w:color="auto"/>
              </w:divBdr>
            </w:div>
          </w:divsChild>
        </w:div>
        <w:div w:id="390999492">
          <w:marLeft w:val="0"/>
          <w:marRight w:val="0"/>
          <w:marTop w:val="0"/>
          <w:marBottom w:val="0"/>
          <w:divBdr>
            <w:top w:val="single" w:sz="2" w:space="0" w:color="auto"/>
            <w:left w:val="single" w:sz="2" w:space="0" w:color="auto"/>
            <w:bottom w:val="single" w:sz="2" w:space="0" w:color="auto"/>
            <w:right w:val="single" w:sz="2" w:space="0" w:color="auto"/>
          </w:divBdr>
          <w:divsChild>
            <w:div w:id="138963122">
              <w:marLeft w:val="0"/>
              <w:marRight w:val="0"/>
              <w:marTop w:val="0"/>
              <w:marBottom w:val="0"/>
              <w:divBdr>
                <w:top w:val="single" w:sz="2" w:space="0" w:color="auto"/>
                <w:left w:val="single" w:sz="2" w:space="0" w:color="auto"/>
                <w:bottom w:val="single" w:sz="2" w:space="0" w:color="auto"/>
                <w:right w:val="single" w:sz="2" w:space="0" w:color="auto"/>
              </w:divBdr>
            </w:div>
          </w:divsChild>
        </w:div>
        <w:div w:id="1426926893">
          <w:marLeft w:val="0"/>
          <w:marRight w:val="0"/>
          <w:marTop w:val="0"/>
          <w:marBottom w:val="0"/>
          <w:divBdr>
            <w:top w:val="single" w:sz="2" w:space="0" w:color="auto"/>
            <w:left w:val="single" w:sz="2" w:space="0" w:color="auto"/>
            <w:bottom w:val="single" w:sz="2" w:space="0" w:color="auto"/>
            <w:right w:val="single" w:sz="2" w:space="0" w:color="auto"/>
          </w:divBdr>
        </w:div>
        <w:div w:id="827792693">
          <w:marLeft w:val="0"/>
          <w:marRight w:val="0"/>
          <w:marTop w:val="0"/>
          <w:marBottom w:val="0"/>
          <w:divBdr>
            <w:top w:val="single" w:sz="2" w:space="0" w:color="auto"/>
            <w:left w:val="single" w:sz="2" w:space="0" w:color="auto"/>
            <w:bottom w:val="single" w:sz="2" w:space="0" w:color="auto"/>
            <w:right w:val="single" w:sz="2" w:space="0" w:color="auto"/>
          </w:divBdr>
        </w:div>
        <w:div w:id="2037121598">
          <w:marLeft w:val="0"/>
          <w:marRight w:val="0"/>
          <w:marTop w:val="0"/>
          <w:marBottom w:val="0"/>
          <w:divBdr>
            <w:top w:val="single" w:sz="2" w:space="0" w:color="auto"/>
            <w:left w:val="single" w:sz="2" w:space="0" w:color="auto"/>
            <w:bottom w:val="single" w:sz="2" w:space="0" w:color="auto"/>
            <w:right w:val="single" w:sz="2" w:space="0" w:color="auto"/>
          </w:divBdr>
        </w:div>
        <w:div w:id="1137144954">
          <w:marLeft w:val="0"/>
          <w:marRight w:val="0"/>
          <w:marTop w:val="0"/>
          <w:marBottom w:val="0"/>
          <w:divBdr>
            <w:top w:val="single" w:sz="2" w:space="0" w:color="auto"/>
            <w:left w:val="single" w:sz="2" w:space="0" w:color="auto"/>
            <w:bottom w:val="single" w:sz="2" w:space="0" w:color="auto"/>
            <w:right w:val="single" w:sz="2" w:space="0" w:color="auto"/>
          </w:divBdr>
          <w:divsChild>
            <w:div w:id="130750324">
              <w:marLeft w:val="0"/>
              <w:marRight w:val="0"/>
              <w:marTop w:val="0"/>
              <w:marBottom w:val="0"/>
              <w:divBdr>
                <w:top w:val="single" w:sz="2" w:space="0" w:color="auto"/>
                <w:left w:val="single" w:sz="2" w:space="0" w:color="auto"/>
                <w:bottom w:val="single" w:sz="2" w:space="0" w:color="auto"/>
                <w:right w:val="single" w:sz="2" w:space="0" w:color="auto"/>
              </w:divBdr>
            </w:div>
          </w:divsChild>
        </w:div>
        <w:div w:id="615605745">
          <w:marLeft w:val="0"/>
          <w:marRight w:val="0"/>
          <w:marTop w:val="0"/>
          <w:marBottom w:val="0"/>
          <w:divBdr>
            <w:top w:val="single" w:sz="2" w:space="0" w:color="auto"/>
            <w:left w:val="single" w:sz="2" w:space="0" w:color="auto"/>
            <w:bottom w:val="single" w:sz="2" w:space="0" w:color="auto"/>
            <w:right w:val="single" w:sz="2" w:space="0" w:color="auto"/>
          </w:divBdr>
        </w:div>
        <w:div w:id="1920600353">
          <w:marLeft w:val="0"/>
          <w:marRight w:val="0"/>
          <w:marTop w:val="0"/>
          <w:marBottom w:val="0"/>
          <w:divBdr>
            <w:top w:val="single" w:sz="2" w:space="0" w:color="auto"/>
            <w:left w:val="single" w:sz="2" w:space="0" w:color="auto"/>
            <w:bottom w:val="single" w:sz="2" w:space="0" w:color="auto"/>
            <w:right w:val="single" w:sz="2" w:space="0" w:color="auto"/>
          </w:divBdr>
        </w:div>
        <w:div w:id="789471355">
          <w:marLeft w:val="0"/>
          <w:marRight w:val="0"/>
          <w:marTop w:val="0"/>
          <w:marBottom w:val="0"/>
          <w:divBdr>
            <w:top w:val="single" w:sz="2" w:space="0" w:color="auto"/>
            <w:left w:val="single" w:sz="2" w:space="0" w:color="auto"/>
            <w:bottom w:val="single" w:sz="2" w:space="0" w:color="auto"/>
            <w:right w:val="single" w:sz="2" w:space="0" w:color="auto"/>
          </w:divBdr>
        </w:div>
        <w:div w:id="1076827481">
          <w:marLeft w:val="0"/>
          <w:marRight w:val="0"/>
          <w:marTop w:val="0"/>
          <w:marBottom w:val="0"/>
          <w:divBdr>
            <w:top w:val="single" w:sz="2" w:space="0" w:color="auto"/>
            <w:left w:val="single" w:sz="2" w:space="0" w:color="auto"/>
            <w:bottom w:val="single" w:sz="2" w:space="0" w:color="auto"/>
            <w:right w:val="single" w:sz="2" w:space="0" w:color="auto"/>
          </w:divBdr>
        </w:div>
        <w:div w:id="349071101">
          <w:marLeft w:val="0"/>
          <w:marRight w:val="0"/>
          <w:marTop w:val="0"/>
          <w:marBottom w:val="0"/>
          <w:divBdr>
            <w:top w:val="single" w:sz="2" w:space="0" w:color="auto"/>
            <w:left w:val="single" w:sz="2" w:space="0" w:color="auto"/>
            <w:bottom w:val="single" w:sz="2" w:space="0" w:color="auto"/>
            <w:right w:val="single" w:sz="2" w:space="0" w:color="auto"/>
          </w:divBdr>
        </w:div>
        <w:div w:id="251551194">
          <w:marLeft w:val="0"/>
          <w:marRight w:val="0"/>
          <w:marTop w:val="0"/>
          <w:marBottom w:val="0"/>
          <w:divBdr>
            <w:top w:val="single" w:sz="2" w:space="0" w:color="auto"/>
            <w:left w:val="single" w:sz="2" w:space="0" w:color="auto"/>
            <w:bottom w:val="single" w:sz="2" w:space="0" w:color="auto"/>
            <w:right w:val="single" w:sz="2" w:space="0" w:color="auto"/>
          </w:divBdr>
        </w:div>
        <w:div w:id="489642046">
          <w:marLeft w:val="0"/>
          <w:marRight w:val="0"/>
          <w:marTop w:val="0"/>
          <w:marBottom w:val="0"/>
          <w:divBdr>
            <w:top w:val="single" w:sz="2" w:space="0" w:color="auto"/>
            <w:left w:val="single" w:sz="2" w:space="0" w:color="auto"/>
            <w:bottom w:val="single" w:sz="2" w:space="0" w:color="auto"/>
            <w:right w:val="single" w:sz="2" w:space="0" w:color="auto"/>
          </w:divBdr>
        </w:div>
        <w:div w:id="1740051038">
          <w:marLeft w:val="0"/>
          <w:marRight w:val="0"/>
          <w:marTop w:val="0"/>
          <w:marBottom w:val="0"/>
          <w:divBdr>
            <w:top w:val="single" w:sz="2" w:space="0" w:color="auto"/>
            <w:left w:val="single" w:sz="2" w:space="0" w:color="auto"/>
            <w:bottom w:val="single" w:sz="2" w:space="0" w:color="auto"/>
            <w:right w:val="single" w:sz="2" w:space="0" w:color="auto"/>
          </w:divBdr>
        </w:div>
        <w:div w:id="749735955">
          <w:marLeft w:val="0"/>
          <w:marRight w:val="0"/>
          <w:marTop w:val="0"/>
          <w:marBottom w:val="0"/>
          <w:divBdr>
            <w:top w:val="single" w:sz="2" w:space="0" w:color="auto"/>
            <w:left w:val="single" w:sz="2" w:space="0" w:color="auto"/>
            <w:bottom w:val="single" w:sz="2" w:space="0" w:color="auto"/>
            <w:right w:val="single" w:sz="2" w:space="0" w:color="auto"/>
          </w:divBdr>
        </w:div>
        <w:div w:id="774406039">
          <w:marLeft w:val="0"/>
          <w:marRight w:val="0"/>
          <w:marTop w:val="0"/>
          <w:marBottom w:val="0"/>
          <w:divBdr>
            <w:top w:val="single" w:sz="2" w:space="0" w:color="auto"/>
            <w:left w:val="single" w:sz="2" w:space="0" w:color="auto"/>
            <w:bottom w:val="single" w:sz="2" w:space="0" w:color="auto"/>
            <w:right w:val="single" w:sz="2" w:space="0" w:color="auto"/>
          </w:divBdr>
        </w:div>
        <w:div w:id="1677002872">
          <w:marLeft w:val="0"/>
          <w:marRight w:val="0"/>
          <w:marTop w:val="0"/>
          <w:marBottom w:val="0"/>
          <w:divBdr>
            <w:top w:val="single" w:sz="2" w:space="0" w:color="auto"/>
            <w:left w:val="single" w:sz="2" w:space="0" w:color="auto"/>
            <w:bottom w:val="single" w:sz="2" w:space="0" w:color="auto"/>
            <w:right w:val="single" w:sz="2" w:space="0" w:color="auto"/>
          </w:divBdr>
        </w:div>
        <w:div w:id="1753311697">
          <w:marLeft w:val="0"/>
          <w:marRight w:val="0"/>
          <w:marTop w:val="0"/>
          <w:marBottom w:val="0"/>
          <w:divBdr>
            <w:top w:val="single" w:sz="2" w:space="0" w:color="auto"/>
            <w:left w:val="single" w:sz="2" w:space="0" w:color="auto"/>
            <w:bottom w:val="single" w:sz="2" w:space="0" w:color="auto"/>
            <w:right w:val="single" w:sz="2" w:space="0" w:color="auto"/>
          </w:divBdr>
        </w:div>
        <w:div w:id="580987295">
          <w:marLeft w:val="0"/>
          <w:marRight w:val="0"/>
          <w:marTop w:val="0"/>
          <w:marBottom w:val="0"/>
          <w:divBdr>
            <w:top w:val="single" w:sz="2" w:space="0" w:color="auto"/>
            <w:left w:val="single" w:sz="2" w:space="0" w:color="auto"/>
            <w:bottom w:val="single" w:sz="2" w:space="0" w:color="auto"/>
            <w:right w:val="single" w:sz="2" w:space="0" w:color="auto"/>
          </w:divBdr>
        </w:div>
        <w:div w:id="382412043">
          <w:marLeft w:val="0"/>
          <w:marRight w:val="0"/>
          <w:marTop w:val="0"/>
          <w:marBottom w:val="0"/>
          <w:divBdr>
            <w:top w:val="single" w:sz="2" w:space="0" w:color="auto"/>
            <w:left w:val="single" w:sz="2" w:space="0" w:color="auto"/>
            <w:bottom w:val="single" w:sz="2" w:space="0" w:color="auto"/>
            <w:right w:val="single" w:sz="2" w:space="0" w:color="auto"/>
          </w:divBdr>
        </w:div>
        <w:div w:id="720134113">
          <w:marLeft w:val="0"/>
          <w:marRight w:val="0"/>
          <w:marTop w:val="0"/>
          <w:marBottom w:val="0"/>
          <w:divBdr>
            <w:top w:val="single" w:sz="2" w:space="0" w:color="auto"/>
            <w:left w:val="single" w:sz="2" w:space="0" w:color="auto"/>
            <w:bottom w:val="single" w:sz="2" w:space="0" w:color="auto"/>
            <w:right w:val="single" w:sz="2" w:space="0" w:color="auto"/>
          </w:divBdr>
        </w:div>
        <w:div w:id="313217047">
          <w:marLeft w:val="0"/>
          <w:marRight w:val="0"/>
          <w:marTop w:val="0"/>
          <w:marBottom w:val="0"/>
          <w:divBdr>
            <w:top w:val="single" w:sz="2" w:space="0" w:color="auto"/>
            <w:left w:val="single" w:sz="2" w:space="0" w:color="auto"/>
            <w:bottom w:val="single" w:sz="2" w:space="0" w:color="auto"/>
            <w:right w:val="single" w:sz="2" w:space="0" w:color="auto"/>
          </w:divBdr>
          <w:divsChild>
            <w:div w:id="1702709714">
              <w:marLeft w:val="0"/>
              <w:marRight w:val="0"/>
              <w:marTop w:val="0"/>
              <w:marBottom w:val="0"/>
              <w:divBdr>
                <w:top w:val="single" w:sz="2" w:space="0" w:color="auto"/>
                <w:left w:val="single" w:sz="2" w:space="0" w:color="auto"/>
                <w:bottom w:val="single" w:sz="2" w:space="0" w:color="auto"/>
                <w:right w:val="single" w:sz="2" w:space="0" w:color="auto"/>
              </w:divBdr>
            </w:div>
          </w:divsChild>
        </w:div>
        <w:div w:id="504173193">
          <w:marLeft w:val="0"/>
          <w:marRight w:val="0"/>
          <w:marTop w:val="0"/>
          <w:marBottom w:val="0"/>
          <w:divBdr>
            <w:top w:val="single" w:sz="2" w:space="0" w:color="auto"/>
            <w:left w:val="single" w:sz="2" w:space="0" w:color="auto"/>
            <w:bottom w:val="single" w:sz="2" w:space="0" w:color="auto"/>
            <w:right w:val="single" w:sz="2" w:space="0" w:color="auto"/>
          </w:divBdr>
        </w:div>
        <w:div w:id="1996950576">
          <w:marLeft w:val="0"/>
          <w:marRight w:val="0"/>
          <w:marTop w:val="150"/>
          <w:marBottom w:val="150"/>
          <w:divBdr>
            <w:top w:val="single" w:sz="2" w:space="4" w:color="auto"/>
            <w:left w:val="single" w:sz="12" w:space="8" w:color="CCCCCC"/>
            <w:bottom w:val="single" w:sz="2" w:space="4" w:color="auto"/>
            <w:right w:val="single" w:sz="2" w:space="8" w:color="auto"/>
          </w:divBdr>
          <w:divsChild>
            <w:div w:id="713116170">
              <w:marLeft w:val="0"/>
              <w:marRight w:val="0"/>
              <w:marTop w:val="0"/>
              <w:marBottom w:val="0"/>
              <w:divBdr>
                <w:top w:val="single" w:sz="2" w:space="0" w:color="auto"/>
                <w:left w:val="single" w:sz="2" w:space="0" w:color="auto"/>
                <w:bottom w:val="single" w:sz="2" w:space="0" w:color="auto"/>
                <w:right w:val="single" w:sz="2" w:space="0" w:color="auto"/>
              </w:divBdr>
            </w:div>
            <w:div w:id="132716989">
              <w:marLeft w:val="0"/>
              <w:marRight w:val="0"/>
              <w:marTop w:val="0"/>
              <w:marBottom w:val="0"/>
              <w:divBdr>
                <w:top w:val="single" w:sz="2" w:space="0" w:color="auto"/>
                <w:left w:val="single" w:sz="2" w:space="0" w:color="auto"/>
                <w:bottom w:val="single" w:sz="2" w:space="0" w:color="auto"/>
                <w:right w:val="single" w:sz="2" w:space="0" w:color="auto"/>
              </w:divBdr>
            </w:div>
          </w:divsChild>
        </w:div>
        <w:div w:id="1498959837">
          <w:marLeft w:val="0"/>
          <w:marRight w:val="0"/>
          <w:marTop w:val="0"/>
          <w:marBottom w:val="0"/>
          <w:divBdr>
            <w:top w:val="single" w:sz="2" w:space="0" w:color="auto"/>
            <w:left w:val="single" w:sz="2" w:space="0" w:color="auto"/>
            <w:bottom w:val="single" w:sz="2" w:space="0" w:color="auto"/>
            <w:right w:val="single" w:sz="2" w:space="0" w:color="auto"/>
          </w:divBdr>
          <w:divsChild>
            <w:div w:id="642927924">
              <w:marLeft w:val="0"/>
              <w:marRight w:val="0"/>
              <w:marTop w:val="0"/>
              <w:marBottom w:val="0"/>
              <w:divBdr>
                <w:top w:val="single" w:sz="2" w:space="0" w:color="auto"/>
                <w:left w:val="single" w:sz="2" w:space="0" w:color="auto"/>
                <w:bottom w:val="single" w:sz="2" w:space="0" w:color="auto"/>
                <w:right w:val="single" w:sz="2" w:space="0" w:color="auto"/>
              </w:divBdr>
            </w:div>
          </w:divsChild>
        </w:div>
        <w:div w:id="1857188626">
          <w:marLeft w:val="0"/>
          <w:marRight w:val="0"/>
          <w:marTop w:val="0"/>
          <w:marBottom w:val="0"/>
          <w:divBdr>
            <w:top w:val="single" w:sz="2" w:space="0" w:color="auto"/>
            <w:left w:val="single" w:sz="2" w:space="0" w:color="auto"/>
            <w:bottom w:val="single" w:sz="2" w:space="0" w:color="auto"/>
            <w:right w:val="single" w:sz="2" w:space="0" w:color="auto"/>
          </w:divBdr>
        </w:div>
        <w:div w:id="1709986696">
          <w:marLeft w:val="0"/>
          <w:marRight w:val="0"/>
          <w:marTop w:val="0"/>
          <w:marBottom w:val="0"/>
          <w:divBdr>
            <w:top w:val="single" w:sz="2" w:space="0" w:color="auto"/>
            <w:left w:val="single" w:sz="2" w:space="0" w:color="auto"/>
            <w:bottom w:val="single" w:sz="2" w:space="0" w:color="auto"/>
            <w:right w:val="single" w:sz="2" w:space="0" w:color="auto"/>
          </w:divBdr>
          <w:divsChild>
            <w:div w:id="803081036">
              <w:marLeft w:val="0"/>
              <w:marRight w:val="0"/>
              <w:marTop w:val="0"/>
              <w:marBottom w:val="0"/>
              <w:divBdr>
                <w:top w:val="single" w:sz="2" w:space="0" w:color="auto"/>
                <w:left w:val="single" w:sz="2" w:space="0" w:color="auto"/>
                <w:bottom w:val="single" w:sz="2" w:space="0" w:color="auto"/>
                <w:right w:val="single" w:sz="2" w:space="0" w:color="auto"/>
              </w:divBdr>
            </w:div>
          </w:divsChild>
        </w:div>
        <w:div w:id="744886272">
          <w:marLeft w:val="0"/>
          <w:marRight w:val="0"/>
          <w:marTop w:val="0"/>
          <w:marBottom w:val="0"/>
          <w:divBdr>
            <w:top w:val="single" w:sz="2" w:space="0" w:color="auto"/>
            <w:left w:val="single" w:sz="2" w:space="0" w:color="auto"/>
            <w:bottom w:val="single" w:sz="2" w:space="0" w:color="auto"/>
            <w:right w:val="single" w:sz="2"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gif"/><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6</Pages>
  <Words>355</Words>
  <Characters>2024</Characters>
  <Application>Microsoft Office Word</Application>
  <DocSecurity>0</DocSecurity>
  <Lines>16</Lines>
  <Paragraphs>4</Paragraphs>
  <ScaleCrop>false</ScaleCrop>
  <Company/>
  <LinksUpToDate>false</LinksUpToDate>
  <CharactersWithSpaces>2375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 Shang</dc:creator>
  <cp:keywords/>
  <dc:description/>
  <cp:lastModifiedBy>Li Shang</cp:lastModifiedBy>
  <cp:revision>2</cp:revision>
  <dcterms:created xsi:type="dcterms:W3CDTF">2023-11-15T09:17:00Z</dcterms:created>
  <dcterms:modified xsi:type="dcterms:W3CDTF">2023-11-15T09:19:00Z</dcterms:modified>
</cp:coreProperties>
</file>